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758" w:rsidRDefault="006E475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E4758" w:rsidRDefault="006E4758">
      <w:pPr>
        <w:pStyle w:val="ConsPlusNormal"/>
        <w:jc w:val="both"/>
        <w:outlineLvl w:val="0"/>
      </w:pPr>
    </w:p>
    <w:p w:rsidR="006E4758" w:rsidRDefault="006E4758">
      <w:pPr>
        <w:pStyle w:val="ConsPlusTitle"/>
        <w:jc w:val="center"/>
      </w:pPr>
      <w:r>
        <w:t>ГОСУДАРСТВЕННОЕ САНИТАРНО-ЭПИДЕМИОЛОГИЧЕСКОЕ НОРМИРОВАНИЕ</w:t>
      </w:r>
    </w:p>
    <w:p w:rsidR="006E4758" w:rsidRDefault="006E4758">
      <w:pPr>
        <w:pStyle w:val="ConsPlusTitle"/>
        <w:jc w:val="center"/>
      </w:pPr>
      <w:r>
        <w:t>РОССИЙСКОЙ ФЕДЕРАЦИИ</w:t>
      </w:r>
    </w:p>
    <w:p w:rsidR="006E4758" w:rsidRDefault="006E4758">
      <w:pPr>
        <w:pStyle w:val="ConsPlusNormal"/>
        <w:jc w:val="center"/>
      </w:pPr>
    </w:p>
    <w:p w:rsidR="006E4758" w:rsidRDefault="006E4758">
      <w:pPr>
        <w:pStyle w:val="ConsPlusNormal"/>
        <w:jc w:val="right"/>
      </w:pPr>
      <w:r>
        <w:t>Утверждаю</w:t>
      </w:r>
    </w:p>
    <w:p w:rsidR="006E4758" w:rsidRDefault="006E4758">
      <w:pPr>
        <w:pStyle w:val="ConsPlusNormal"/>
        <w:jc w:val="right"/>
      </w:pPr>
      <w:r>
        <w:t>Руководитель Федеральной службы</w:t>
      </w:r>
    </w:p>
    <w:p w:rsidR="006E4758" w:rsidRDefault="006E4758">
      <w:pPr>
        <w:pStyle w:val="ConsPlusNormal"/>
        <w:jc w:val="right"/>
      </w:pPr>
      <w:r>
        <w:t>по надзору в сфере защиты прав</w:t>
      </w:r>
    </w:p>
    <w:p w:rsidR="006E4758" w:rsidRDefault="006E4758">
      <w:pPr>
        <w:pStyle w:val="ConsPlusNormal"/>
        <w:jc w:val="right"/>
      </w:pPr>
      <w:r>
        <w:t>потребителей и благополучия человека,</w:t>
      </w:r>
    </w:p>
    <w:p w:rsidR="006E4758" w:rsidRDefault="006E4758">
      <w:pPr>
        <w:pStyle w:val="ConsPlusNormal"/>
        <w:jc w:val="right"/>
      </w:pPr>
      <w:r>
        <w:t>Главный государственный санитарный</w:t>
      </w:r>
    </w:p>
    <w:p w:rsidR="006E4758" w:rsidRDefault="006E4758">
      <w:pPr>
        <w:pStyle w:val="ConsPlusNormal"/>
        <w:jc w:val="right"/>
      </w:pPr>
      <w:r>
        <w:t>врач Российской Федерации</w:t>
      </w:r>
    </w:p>
    <w:p w:rsidR="006E4758" w:rsidRDefault="006E4758">
      <w:pPr>
        <w:pStyle w:val="ConsPlusNormal"/>
        <w:jc w:val="right"/>
      </w:pPr>
      <w:r>
        <w:t>А.Ю.ПОПОВА</w:t>
      </w:r>
    </w:p>
    <w:p w:rsidR="006E4758" w:rsidRDefault="006E4758">
      <w:pPr>
        <w:pStyle w:val="ConsPlusNormal"/>
        <w:jc w:val="right"/>
      </w:pPr>
      <w:r>
        <w:t>25 апреля 2024 г.</w:t>
      </w:r>
    </w:p>
    <w:p w:rsidR="006E4758" w:rsidRDefault="006E4758">
      <w:pPr>
        <w:pStyle w:val="ConsPlusNormal"/>
        <w:jc w:val="center"/>
      </w:pPr>
    </w:p>
    <w:p w:rsidR="006E4758" w:rsidRDefault="006E4758">
      <w:pPr>
        <w:pStyle w:val="ConsPlusTitle"/>
        <w:jc w:val="center"/>
      </w:pPr>
      <w:r>
        <w:t>2.4. ГИГИЕНА ДЕТЕЙ И ПОДРОСТКОВ</w:t>
      </w:r>
    </w:p>
    <w:p w:rsidR="006E4758" w:rsidRDefault="006E4758">
      <w:pPr>
        <w:pStyle w:val="ConsPlusTitle"/>
        <w:jc w:val="center"/>
      </w:pPr>
    </w:p>
    <w:p w:rsidR="006E4758" w:rsidRDefault="006E4758">
      <w:pPr>
        <w:pStyle w:val="ConsPlusTitle"/>
        <w:jc w:val="center"/>
      </w:pPr>
      <w:r>
        <w:t>МЕТОДИЧЕСКИЕ РЕКОМЕНДАЦИИ</w:t>
      </w:r>
    </w:p>
    <w:p w:rsidR="006E4758" w:rsidRDefault="006E4758">
      <w:pPr>
        <w:pStyle w:val="ConsPlusTitle"/>
        <w:jc w:val="center"/>
      </w:pPr>
      <w:r>
        <w:t>ПО ОБЕСПЕЧЕНИЮ САНИТАРНО-ЭПИДЕМИОЛОГИЧЕСКИХ ТРЕБОВАНИЙ</w:t>
      </w:r>
    </w:p>
    <w:p w:rsidR="006E4758" w:rsidRDefault="006E4758">
      <w:pPr>
        <w:pStyle w:val="ConsPlusTitle"/>
        <w:jc w:val="center"/>
      </w:pPr>
      <w:r>
        <w:t>В ДЕТСКИХ ЛАГЕРЯХ ПАЛАТОЧНОГО ТИПА</w:t>
      </w:r>
    </w:p>
    <w:p w:rsidR="006E4758" w:rsidRDefault="006E4758">
      <w:pPr>
        <w:pStyle w:val="ConsPlusTitle"/>
        <w:jc w:val="center"/>
      </w:pPr>
    </w:p>
    <w:p w:rsidR="006E4758" w:rsidRDefault="006E4758">
      <w:pPr>
        <w:pStyle w:val="ConsPlusTitle"/>
        <w:jc w:val="center"/>
      </w:pPr>
      <w:r>
        <w:t>МЕТОДИЧЕСКИЕ РЕКОМЕНДАЦИИ</w:t>
      </w:r>
    </w:p>
    <w:p w:rsidR="006E4758" w:rsidRDefault="006E4758">
      <w:pPr>
        <w:pStyle w:val="ConsPlusTitle"/>
        <w:jc w:val="center"/>
      </w:pPr>
      <w:r>
        <w:t>МР 2.4.0345-24</w:t>
      </w:r>
    </w:p>
    <w:p w:rsidR="006E4758" w:rsidRDefault="006E4758">
      <w:pPr>
        <w:pStyle w:val="ConsPlusNormal"/>
        <w:jc w:val="center"/>
      </w:pPr>
    </w:p>
    <w:p w:rsidR="006E4758" w:rsidRDefault="006E4758">
      <w:pPr>
        <w:pStyle w:val="ConsPlusNormal"/>
        <w:ind w:firstLine="540"/>
        <w:jc w:val="both"/>
      </w:pPr>
      <w:r>
        <w:t>1. Разработаны Федеральной службой по надзору в сфере защиты прав потребителей и благополучия человека (Яновская Г.В.); ФБУН "ФНЦГ им. Ф.Ф. Эрисмана" Роспотребнадзора (Кузьмин С.В., Кучма В.Р., Седова А.С.).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25 апреля 2024 г.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3. Введены впервые.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Title"/>
        <w:jc w:val="center"/>
        <w:outlineLvl w:val="0"/>
      </w:pPr>
      <w:r>
        <w:t>I. Область применения и общие положения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1.1. Настоящие методические рекомендации (далее - МР) содержат обобщенные сведения и рекомендации по вопросам организации отдыха детей и их оздоровления в детских лагерях палаточного типа (далее - палаточные лагеря) в соответствии с санитарно-эпидемиологическими требованиями &lt;1&gt;.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&lt;1&gt; </w:t>
      </w:r>
      <w:hyperlink r:id="rId5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28.09.2020 N 28 (зарегистрировано Минюстом России 18.12.2020, регистрационный N 61573) (далее - СП 2.4.3648-20); </w:t>
      </w:r>
      <w:hyperlink r:id="rId6">
        <w:r>
          <w:rPr>
            <w:color w:val="0000FF"/>
          </w:rPr>
          <w:t>СанПиН 1.2.3685-21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28.01.2021 N 2 (зарегистрировано Минюстом России 29.01.2021, регистрационный N 62296), с изменениями, внесенными постановлением Главного государственного санитарного врача Российской Федерации от 30.12.2022 N 24 (зарегистрировано Минюстом России 09.03.2023, регистрационный N 72558) (далее - СанПиН 1.2.3685-21); </w:t>
      </w:r>
      <w:hyperlink r:id="rId7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</w:t>
      </w:r>
      <w:r>
        <w:lastRenderedPageBreak/>
        <w:t>Российской Федерации от 27.10.2020 N 32 (зарегистрировано Минюстом России 11.11.2020, регистрационный N 60833) (далее - СанПиН 2.3/2.4.3590-20).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1.2. Настоящие МР не распространяются на: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 походы, слеты и иные аналогичные мероприятия, организуемые в соответствии с общими требованиями к организации и проведению в природной среде мероприятий с участием детей &lt;2&gt;;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&lt;2&gt; </w:t>
      </w:r>
      <w:hyperlink r:id="rId8">
        <w:r>
          <w:rPr>
            <w:color w:val="0000FF"/>
          </w:rPr>
          <w:t>Приказ</w:t>
        </w:r>
      </w:hyperlink>
      <w:r>
        <w:t xml:space="preserve"> Минпросвещения России и Минэкономразвития России от 19.12.2019 N 702/811 "Об утверждении общих требований к организации и проведению в природной среде следующих мероприятий с участием детей, являющихся членами организованной группы несовершеннолетних туристов: прохождения туристских маршрутов, других маршрутов передвижения, походов, экспедиций, слетов и иных аналогичных мероприятий, а также указанных мероприятий с участием организованных групп детей, проводимых организациями, осуществляющими образовательную деятельность, и организациями отдыха детей и их оздоровления, и к порядку уведомления уполномоченных органов государственной власти о месте, сроках и длительности проведения таких мероприятий" (зарегистрирован Минюстом России 16.04.2020, регистрационный N 58115); </w:t>
      </w:r>
      <w:hyperlink r:id="rId9">
        <w:r>
          <w:rPr>
            <w:color w:val="0000FF"/>
          </w:rPr>
          <w:t>приказ</w:t>
        </w:r>
      </w:hyperlink>
      <w:r>
        <w:t xml:space="preserve"> Минспорта России от 22.04.2021 N 255 "Об утверждении правил вида спорта "спортивный туризм" (далее - приказ Минспорта России от 22.04.2021 N 255).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 xml:space="preserve">- степенные и категорийные походы туристских групп, выпущенных на маршруты полномочными маршрутно-квалификационными комиссиями в соответствии с </w:t>
      </w:r>
      <w:hyperlink r:id="rId10">
        <w:r>
          <w:rPr>
            <w:color w:val="0000FF"/>
          </w:rPr>
          <w:t>правилами</w:t>
        </w:r>
      </w:hyperlink>
      <w:r>
        <w:t xml:space="preserve"> вида спорта "Спортивный туризм" &lt;3&gt;;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1">
        <w:r>
          <w:rPr>
            <w:color w:val="0000FF"/>
          </w:rPr>
          <w:t>Приказ</w:t>
        </w:r>
      </w:hyperlink>
      <w:r>
        <w:t xml:space="preserve"> Минспорта России от 22.04.2021 N 255.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- слеты, соревнования и походы "Маршрут выживания" в рамках проведения соревнований "Школа безопасности", организованные в соответствии с правилами соревнований "Школа безопасности" &lt;4&gt;.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2">
        <w:r>
          <w:rPr>
            <w:color w:val="0000FF"/>
          </w:rPr>
          <w:t>Правила</w:t>
        </w:r>
      </w:hyperlink>
      <w:r>
        <w:t xml:space="preserve"> организации и проведения соревнований обучающихся Российской Федерации "Школа безопасности", утвержденные Первым заместителем Министра Российской Федерации по делам гражданской обороны, чрезвычайным ситуациям и ликвидации последствий стихийных бедствий 20.12.2018 N 2-4-38-4, заместителем Министра просвещения Российской Федерации 20.12.2018, председателем Центрального Совета Всероссийского детско-юношеского общественного движения "Школа безопасности".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Проведение вышеперечисленных мероприятий осуществляется в соответствии с санитарно-эпидемиологическими требованиями &lt;5&gt;.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3">
        <w:r>
          <w:rPr>
            <w:color w:val="0000FF"/>
          </w:rPr>
          <w:t>СП 2.4.3648-20</w:t>
        </w:r>
      </w:hyperlink>
      <w:r>
        <w:t xml:space="preserve">; </w:t>
      </w:r>
      <w:hyperlink r:id="rId14">
        <w:r>
          <w:rPr>
            <w:color w:val="0000FF"/>
          </w:rPr>
          <w:t>СанПиН 1.2.3685-21</w:t>
        </w:r>
      </w:hyperlink>
      <w:r>
        <w:t xml:space="preserve">; </w:t>
      </w:r>
      <w:hyperlink r:id="rId15">
        <w:r>
          <w:rPr>
            <w:color w:val="0000FF"/>
          </w:rPr>
          <w:t>СанПиН 2.3/2.4.3590-20</w:t>
        </w:r>
      </w:hyperlink>
      <w:r>
        <w:t>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1.3. Настоящие МР могут быть использованы при организации студенческих палаточных лагерей.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1.4. Деятельность палаточных лагерей может осуществляться юридическим лицом либо его структурным подразделением, индивидуальным предпринимателем, реализующие программы отдыха и оздоровления детей &lt;6&gt;, и внесенные в установленном порядке в реестр организаций </w:t>
      </w:r>
      <w:r>
        <w:lastRenderedPageBreak/>
        <w:t>отдыха детей и их оздоровления &lt;7&gt;.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6">
        <w:r>
          <w:rPr>
            <w:color w:val="0000FF"/>
          </w:rPr>
          <w:t>Абзац девятый статьи 1</w:t>
        </w:r>
      </w:hyperlink>
      <w:r>
        <w:t xml:space="preserve"> Федерального закона от 24.07.1998 N 124-ФЗ "Об основных гарантиях прав ребенка в Российской Федерации" (далее - Федеральный закон от 24.07.1998 N 124-ФЗ); </w:t>
      </w:r>
      <w:hyperlink r:id="rId17">
        <w:r>
          <w:rPr>
            <w:color w:val="0000FF"/>
          </w:rPr>
          <w:t>приказ</w:t>
        </w:r>
      </w:hyperlink>
      <w:r>
        <w:t xml:space="preserve"> Минобрнауки России от 13.07.2017 N 656 "Об утверждении примерных положений об организациях отдыха детей и их оздоровления" (зарегистрирован Минюстом России 01.08.2017, регистрационный N 47607).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8">
        <w:r>
          <w:rPr>
            <w:color w:val="0000FF"/>
          </w:rPr>
          <w:t>Статья 12.2</w:t>
        </w:r>
      </w:hyperlink>
      <w:r>
        <w:t xml:space="preserve"> Федерального закона от 24.07.1998 N 124-ФЗ.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1.5. Рекомендуемая продолжительность смены составляет не менее 7 дней.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Title"/>
        <w:jc w:val="center"/>
        <w:outlineLvl w:val="0"/>
      </w:pPr>
      <w:r>
        <w:t>II. Рекомендации по организации палаточных лагерей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2.1. Деятельность палаточных лагерей осуществляется при наличии санитарно-эпидемиологического заключения (далее - СЭЗ) о соответствии деятельности, осуществляемой организацией отдыха детей и их оздоровления, санитарно-эпидемиологическим требованиям &lt;8&gt;.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&lt;8&gt; </w:t>
      </w:r>
      <w:hyperlink r:id="rId19">
        <w:r>
          <w:rPr>
            <w:color w:val="0000FF"/>
          </w:rPr>
          <w:t>Пункт 2 статьи 12</w:t>
        </w:r>
      </w:hyperlink>
      <w:r>
        <w:t xml:space="preserve"> Федерального закона от 24.07.1998 N 124-ФЗ; </w:t>
      </w:r>
      <w:hyperlink r:id="rId20">
        <w:r>
          <w:rPr>
            <w:color w:val="0000FF"/>
          </w:rPr>
          <w:t>пункт 1.4</w:t>
        </w:r>
      </w:hyperlink>
      <w:r>
        <w:t xml:space="preserve"> СП 2.4.3648-20.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При организации и проведении мероприятий с участием детей и молодежи, проводимых в природной среде (например, фестивали, соревнования, слеты), в том числе туристских походов, студенческих палаточных лагерей, получение СЭЗ не требуется.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2.2. Порядок выдачи СЭЗ определен законодательством Российской Федерации &lt;9&gt;.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&lt;9&gt; </w:t>
      </w:r>
      <w:hyperlink r:id="rId21">
        <w:r>
          <w:rPr>
            <w:color w:val="0000FF"/>
          </w:rPr>
          <w:t>Статья 12.2</w:t>
        </w:r>
      </w:hyperlink>
      <w:r>
        <w:t xml:space="preserve"> Федерального закона от 24.07.1998 N 124-ФЗ.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Сведения о наличии и дате выдачи СЭЗ являются одним из условий для включения палаточных лагерей в реестр организаций отдыха детей и их оздоровления &lt;10&gt;.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&lt;10&gt; </w:t>
      </w:r>
      <w:hyperlink r:id="rId22">
        <w:r>
          <w:rPr>
            <w:color w:val="0000FF"/>
          </w:rPr>
          <w:t>Статья 42</w:t>
        </w:r>
      </w:hyperlink>
      <w:r>
        <w:t xml:space="preserve"> Федерального закона от 30.03.1999 N 52-ФЗ "О санитарно-эпидемиологическом благополучии населения" (далее - Федеральный закон от 30.03.1999 N 52-ФЗ); </w:t>
      </w:r>
      <w:hyperlink r:id="rId23">
        <w:r>
          <w:rPr>
            <w:color w:val="0000FF"/>
          </w:rPr>
          <w:t>приказ</w:t>
        </w:r>
      </w:hyperlink>
      <w:r>
        <w:t xml:space="preserve"> Роспотребнадзора от 05.11.2020 N 747 "Об утверждении Административного регламента Федеральной службы по надзору в сфере защиты прав потребителей и благополучия человека по предоставлению государственной услуги по выдаче санитарно-эпидемиологических заключений на основании результатов санитарно-эпидемиологических экспертиз, расследований, обследований, исследований, испытаний, токсикологических, гигиенических и иных видов оценок соблюдения санитарно-эпидемиологических и гигиенических требований" (зарегистрирован Минюстом России 10.06.2021, регистрационный N 63840); </w:t>
      </w:r>
      <w:hyperlink r:id="rId24">
        <w:r>
          <w:rPr>
            <w:color w:val="0000FF"/>
          </w:rPr>
          <w:t>приказ</w:t>
        </w:r>
      </w:hyperlink>
      <w:r>
        <w:t xml:space="preserve"> Роспотребнадзора от 19.07.2007 N 224 "О санитарно-эпидемиологических экспертизах, обследованиях, исследованиях, испытаниях и токсикологических, гигиенических и иных видов оценок" (зарегистрирован Минюстом России 20.07.2007, регистрационный N 9866).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2.3. При принятии решения об открытии палаточного лагеря в летнюю оздоровительную кампанию рекомендуется исходить из среднесуточной температуры атмосферного воздуха, которая должна составлять не менее плюс 15 °C в течение 5 дней подряд.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lastRenderedPageBreak/>
        <w:t>2.4. Палаточный лагерь рекомендуется размещать в естественных природных условиях или на территории основной базы палаточных лагерей (при наличии). Возможно использование свободной территории и помещений зданий загородной стационарной организации отдыха детей и их оздоровления, муниципальных образовательных организаций, турбаз, воинских частей.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2.5. Выбор места для размещения палаточного лагеря проводится в соответствии с санитарно-эпидемиологическими требованиями &lt;11&gt;.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&lt;11&gt; </w:t>
      </w:r>
      <w:hyperlink r:id="rId25">
        <w:r>
          <w:rPr>
            <w:color w:val="0000FF"/>
          </w:rPr>
          <w:t>Пункт 2.1.1</w:t>
        </w:r>
      </w:hyperlink>
      <w:r>
        <w:t xml:space="preserve"> СП 2.4.3648-20.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Территорию размещения палаточного лагеря обозначают по периметру знаками &lt;12&gt;. Способ обозначения территории и освещения в темное время суток (при его наличии) определяются юридическим лицом палаточного лагеря.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&lt;12&gt; </w:t>
      </w:r>
      <w:hyperlink r:id="rId26">
        <w:r>
          <w:rPr>
            <w:color w:val="0000FF"/>
          </w:rPr>
          <w:t>Пункт 3.13.3</w:t>
        </w:r>
      </w:hyperlink>
      <w:r>
        <w:t xml:space="preserve"> СП 2.4.3648-20.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2.6. При подготовке территории к работе палаточного лагеря проводят дератизационную обработку и иные мероприятия по борьбе с грызунами, а также акарицидную обработку, дезинсекционную (лаврицидную) обработку против кровососущих комаров в соответствии с санитарно-эпидемиологическими требованиями &lt;13&gt;.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27">
        <w:r>
          <w:rPr>
            <w:color w:val="0000FF"/>
          </w:rPr>
          <w:t>Пункт 89</w:t>
        </w:r>
      </w:hyperlink>
      <w:r>
        <w:t xml:space="preserve">, </w:t>
      </w:r>
      <w:hyperlink r:id="rId28">
        <w:r>
          <w:rPr>
            <w:color w:val="0000FF"/>
          </w:rPr>
          <w:t>глава IX</w:t>
        </w:r>
      </w:hyperlink>
      <w:r>
        <w:t xml:space="preserve">, </w:t>
      </w:r>
      <w:hyperlink r:id="rId29">
        <w:r>
          <w:rPr>
            <w:color w:val="0000FF"/>
          </w:rPr>
          <w:t>глава X</w:t>
        </w:r>
      </w:hyperlink>
      <w:r>
        <w:t xml:space="preserve">, </w:t>
      </w:r>
      <w:hyperlink r:id="rId30">
        <w:r>
          <w:rPr>
            <w:color w:val="0000FF"/>
          </w:rPr>
          <w:t>глава XX</w:t>
        </w:r>
      </w:hyperlink>
      <w:r>
        <w:t xml:space="preserve"> СанПиН 3.3686-21 "Санитарно-эпидемиологические требования по профилактике инфекционных болезней", утвержденных постановлением Главного государственного санитарного врача Российской Федерации от 28.01.2021 N 4 (зарегистрировано Минюстом России 15.02.2021, регистрационный N 62500), с изменениями, внесенными постановлениями Главного государственного санитарного врача Российской Федерации от 11.02.2022 N 5 (зарегистрировано Минюстом России 01.03.2022, регистрационный N 67587) и от 25.05.2022 N 16 (зарегистрировано Минюстом России 21.06.2022, регистрационный N 68934).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Для определения объема проводимых мероприятий по акарицидной обработке перед началом работы палаточного лагеря проводится зоолого- и энтомологический контроль (проведение контроля рекомендуется включать в договор со специализированной организацией на проведение обработки).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Периодичность проведения акарицидных обработок зависит от срока действия используемого препарата. На территориях могут применяться зарегистрированные в установленном порядке препараты (яды), имеющие свидетельства о государственной регистрации &lt;14&gt; не выше 4 класса опасности. Срок действия данных препаратов с учетом погодных условий в среднем составляет не более 25 - 30 дней. В палаточном лагере с продолжительностью смен менее 20 дней периодичность акарицидных обработок рекомендуется рассчитывать с учетом действия препарата, но не менее чем 1 раз в 2 смены.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&lt;14&gt; </w:t>
      </w:r>
      <w:hyperlink r:id="rId31">
        <w:r>
          <w:rPr>
            <w:color w:val="0000FF"/>
          </w:rPr>
          <w:t>Раздел II</w:t>
        </w:r>
      </w:hyperlink>
      <w:r>
        <w:t xml:space="preserve"> "Перечень продукции (товаров), подлежащей государственной регистрации"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утвержденного Решением Комиссии Таможенного союза от 28.05.2010 N 299, с изменениями, внесенными решениями Комиссии Таможенного союза от 17.08.2010 N 341, от 20.09.2010 N 383, от 14.10.2010 N 432, от 18.11.2010 N 456, от 02.03.2011 N 566, </w:t>
      </w:r>
      <w:r>
        <w:lastRenderedPageBreak/>
        <w:t xml:space="preserve">от 18.10.2011 N 828, от 09.12.2011 N 859, решениями Коллегии Евразийской экономической комиссии от 15.06.2012 N 36, от 24.08.2012 N 73, от 17.12.2012 N 115, от 18.09.2014 N 78, от 02.12.2015 N 82, от 14.06.2018 N 64, от 22.02.2019 N 8, от 09.09.2019 N 97, от 04.09.2020 N 65, от 29.10.2021 N 109, от 18.02.2022 N 15, от 17.03.2022 N 28, от 25.01.2023 N 6; </w:t>
      </w:r>
      <w:hyperlink r:id="rId32">
        <w:r>
          <w:rPr>
            <w:color w:val="0000FF"/>
          </w:rPr>
          <w:t>Решение</w:t>
        </w:r>
      </w:hyperlink>
      <w:r>
        <w:t xml:space="preserve"> Коллегии Евразийской экономической комиссии от 30.06.2017 N 80 "О свидетельствах о государственной регистрации продукции".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2.7. Палаточный лагерь рекомендуется располагать вблизи источника питьевого водоснабжения. При отсутствии источника питьевого водоснабжения может использоваться привозная питьевая вода или питьевая вода промышленного производства, расфасованная в емкости (бутилированная). Для организации питьевого режима количество питьевой воды рекомендуется принимать из расчета не менее 2 л на 1 человека в сутки.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В качестве источника питьевой воды могут быть использованы существующие источники централизованного водоснабжения населенных мест, источники нецентрализованного водоснабжения (например, артскважины, каптажи, колодцы, родники), привозная питьевая вода, доставляемая специализированным автотранспортом, и (или) бутилированная питьевая вода.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При наличии собственного водоисточника у организатора (хозяйствующего субъекта) обязательным является наличие СЭЗ о соответствии водного объекта санитарным правилам и условиям безопасного для здоровья населения использования водного объекта &lt;15&gt; и СЭЗ о соответствии границ таких зон и ограничений использования земельных участков в границах таких зон санитарным правилам &lt;16&gt;.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&lt;15&gt; </w:t>
      </w:r>
      <w:hyperlink r:id="rId33">
        <w:r>
          <w:rPr>
            <w:color w:val="0000FF"/>
          </w:rPr>
          <w:t>Статья 18</w:t>
        </w:r>
      </w:hyperlink>
      <w:r>
        <w:t xml:space="preserve"> Федерального закона от 30.03.1999 N 52-ФЗ.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&lt;16&gt; </w:t>
      </w:r>
      <w:hyperlink r:id="rId34">
        <w:r>
          <w:rPr>
            <w:color w:val="0000FF"/>
          </w:rPr>
          <w:t>Статья 18</w:t>
        </w:r>
      </w:hyperlink>
      <w:r>
        <w:t xml:space="preserve"> Федерального закона от 30.03.1999 N 52-ФЗ; </w:t>
      </w:r>
      <w:hyperlink r:id="rId35">
        <w:r>
          <w:rPr>
            <w:color w:val="0000FF"/>
          </w:rPr>
          <w:t>пункт 1.10</w:t>
        </w:r>
      </w:hyperlink>
      <w:r>
        <w:t xml:space="preserve"> СанПиН 2.1.4.1110-02 "Зоны санитарной охраны источников водоснабжения и водопроводов питьевого назначения", утвержденных постановлением Главного государственного санитарного врача Российской Федерации от 14.03.2002 N 10 (зарегистрировано Минюстом России 24.04.2002, регистрационный N 3399).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При использовании нецентрализованных водоисточников (родники, каптажи, колодцы) рекомендуется провести обустройство их для удобного подхода и забора воды, устранение возможных источников загрязнения в виде мусора, валежника, лабораторно-инструментальные исследования качества воды на показатели микробиологической и санитарно-химической безопасности.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При использовании мест для купания, соблюдаются установленные санитарно-эпидемиологические требования &lt;17&gt;.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&lt;17&gt; </w:t>
      </w:r>
      <w:hyperlink r:id="rId36">
        <w:r>
          <w:rPr>
            <w:color w:val="0000FF"/>
          </w:rPr>
          <w:t>Пункт 3 статьи 18</w:t>
        </w:r>
      </w:hyperlink>
      <w:r>
        <w:t xml:space="preserve"> Федерального закона от 30.03.1999 N 52-ФЗ.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2.8. Территорию палаточного лагеря рекомендуется планировать с учетом принципа функционального зонирования. В зависимости от назначения на территории рекомендовано выделение функциональных зон: жилая зона, зона приготовления и приема пищи, хранения продуктов питания, санитарно-бытовая зона, физкультурно-оздоровительная, административно-хозяйственная.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Рекомендуется выделить зону или площадку для накопления твердых коммунальных отходов, пищевых отходов с обеспечением разрыва до мест проживания, игровых, спортивных </w:t>
      </w:r>
      <w:r>
        <w:lastRenderedPageBreak/>
        <w:t>площадок.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Уборка территории проводится ежедневно или по мере загрязнения. Мусор собирается в закрывающиеся емкости (мешки, ведра) с последующим их вывозом.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2.9. Тип палатки рекомендуется выбирать в зависимости от природно-климатических особенностей местности. Кроме палаток возможно размещение в быстро- и легковозводимых сооружениях, "летних" домиках-шалашах, юртах, чумах и других аналогичных конструкциях.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В палатках и иных конструкциях для размещения и проживания обеспечивается проветривание и защита от насекомых на окнах и дверях.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Для организации отвода дождевых вод от палаток &lt;18&gt; в зависимости от вида грунта и его водопропускной способности, рельефа местности рекомендуется использовать различные виды отвода (например, окапывание, расположение на возвышенных местах с естественным уклоном).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&lt;18&gt; </w:t>
      </w:r>
      <w:hyperlink r:id="rId37">
        <w:r>
          <w:rPr>
            <w:color w:val="0000FF"/>
          </w:rPr>
          <w:t>Пункт 3.13.4</w:t>
        </w:r>
      </w:hyperlink>
      <w:r>
        <w:t xml:space="preserve"> СП 2.4.3648-20.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В качества настила &lt;19&gt; (приподнятого над землей на высоту 5 - 15 см) под палаткой могут использоваться деревянные, пластиковые и иные конструкции и (или) материалы (влагостойкие пленки, коврики), препятствующие контакту дна палатки с почвой.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&lt;19&gt; </w:t>
      </w:r>
      <w:hyperlink r:id="rId38">
        <w:r>
          <w:rPr>
            <w:color w:val="0000FF"/>
          </w:rPr>
          <w:t>Пункт 3.13.4</w:t>
        </w:r>
      </w:hyperlink>
      <w:r>
        <w:t xml:space="preserve"> СП 2.4.3648-20.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Могут использоваться многоместные армейские палатки площадью пола не менее 3 м</w:t>
      </w:r>
      <w:r>
        <w:rPr>
          <w:vertAlign w:val="superscript"/>
        </w:rPr>
        <w:t>2</w:t>
      </w:r>
      <w:r>
        <w:t xml:space="preserve"> на одного проживающего. В таких палатках рекомендуется устанавливать кровати или раскладушки. Каждое спальное место комплектуется матрацем, одеялом и подушкой. Запас постельного белья формируется с учетом обеспечения смены комплекта не менее 1 раза в 7 дней.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В палатках, не обеспеченных кроватями или раскладушками, используются теплоизоляционные туристские коврики и спальные мешки.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2.10. Спальные мешки комплектуются съемными вкладышами и (или) простынями из хлопчатобумажной ткани. В личных целях могут использоваться личные индивидуальные спальные мешки, имеющие персональную маркировку, позволяющую идентифицировать владельца.</w:t>
      </w:r>
    </w:p>
    <w:p w:rsidR="006E4758" w:rsidRDefault="006E475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E475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E4758" w:rsidRDefault="006E475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4758" w:rsidRDefault="006E475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E4758" w:rsidRDefault="006E4758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6E4758" w:rsidRDefault="006E4758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E4758" w:rsidRDefault="006E4758">
            <w:pPr>
              <w:pStyle w:val="ConsPlusNormal"/>
            </w:pPr>
          </w:p>
        </w:tc>
      </w:tr>
    </w:tbl>
    <w:p w:rsidR="006E4758" w:rsidRDefault="006E4758">
      <w:pPr>
        <w:pStyle w:val="ConsPlusNormal"/>
        <w:spacing w:before="280"/>
        <w:ind w:firstLine="540"/>
        <w:jc w:val="both"/>
      </w:pPr>
      <w:r>
        <w:t>2.13. Место для просушивания одежды и обуви рекомендуется организовывать под тентом или иной конструкцией, исключающей попадание атмосферных осадков. Место для хранения обуви может быть организовано в тамбуре палатки.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Title"/>
        <w:jc w:val="center"/>
        <w:outlineLvl w:val="0"/>
      </w:pPr>
      <w:r>
        <w:t>III. Организация питания в палаточных лагерях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3.1. При нахождении детей в палаточном лагере обеспечивается организация горячего питания в соответствии с санитарно-эпидемиологическими требованиями &lt;20&gt;.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&lt;20&gt; </w:t>
      </w:r>
      <w:hyperlink r:id="rId39">
        <w:r>
          <w:rPr>
            <w:color w:val="0000FF"/>
          </w:rPr>
          <w:t>Пункт 1.9</w:t>
        </w:r>
      </w:hyperlink>
      <w:r>
        <w:t xml:space="preserve"> СП 2.4.3648-20.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3.2. Для организации питания детей в палаточном лагере можно использовать следующие формы: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 питание на базе стационарного пищеблока;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 питание в близлежащей организации общественного питания;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 использование полевой кухни;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 приготовление пищи на костре (газовых горелках);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 привозное горячее питание.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Организация питания может осуществляться как сотрудниками палаточного лагеря, так и с привлечением юридических лиц и (или) индивидуальных предпринимателей, осуществляющих деятельность по производству готовых блюд, кулинарных изделий и деятельность по их реализации &lt;21&gt;.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&lt;21&gt; </w:t>
      </w:r>
      <w:hyperlink r:id="rId40">
        <w:r>
          <w:rPr>
            <w:color w:val="0000FF"/>
          </w:rPr>
          <w:t>Пункт 1.9</w:t>
        </w:r>
      </w:hyperlink>
      <w:r>
        <w:t xml:space="preserve"> СП 2.4.3648-20.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Приготовление пищи возможно с участием детей под контролем персонала (ответственного лица).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3.3. В случае организации питания непосредственно на территории палаточного лагеря рекомендуется выделять зоны приготовления и приема пищи (кухонная зона), включающие места для хранения, приготовления пищи, приема пищи, для мытья рук. В случае поотрядного (погруппового) приготовления и приема пищи может быть оборудовано несколько соответствующих зон. Пищевые продукты хранятся в недоступных для грызунов и насекомых местах.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3.4. Оборудование мест для приготовления пищи при использовании полевой кухни и (или) при приготовлении пищи на костре организуется в соответствии с санитарно-эпидемиологическими требованиями &lt;22&gt;.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&lt;22&gt; </w:t>
      </w:r>
      <w:hyperlink r:id="rId41">
        <w:r>
          <w:rPr>
            <w:color w:val="0000FF"/>
          </w:rPr>
          <w:t>Пункт 8.7.2</w:t>
        </w:r>
      </w:hyperlink>
      <w:r>
        <w:t xml:space="preserve"> СанПиН 2.3/2.4.3590-20.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Мытье посуды осуществляется в соответствии с санитарно-эпидемиологическими требованиями &lt;23&gt;.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&lt;23&gt; </w:t>
      </w:r>
      <w:hyperlink r:id="rId42">
        <w:r>
          <w:rPr>
            <w:color w:val="0000FF"/>
          </w:rPr>
          <w:t>Пункт 8.7.2</w:t>
        </w:r>
      </w:hyperlink>
      <w:r>
        <w:t xml:space="preserve"> СанПиН 2.3/2.4.3590-20.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Дети могут быть допущены к мытью посуды, в том числе - кухонного инвентаря.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Возможно использование одноразовой посуды, разрешенной к применению для контакта с пищевыми продуктами.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3.5. Меню разрабатывается в соответствии с санитарно-эпидемиологическими требованиями &lt;24&gt;.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lastRenderedPageBreak/>
        <w:t xml:space="preserve">&lt;24&gt; </w:t>
      </w:r>
      <w:hyperlink r:id="rId43">
        <w:r>
          <w:rPr>
            <w:color w:val="0000FF"/>
          </w:rPr>
          <w:t>Пункт 8.1</w:t>
        </w:r>
      </w:hyperlink>
      <w:r>
        <w:t xml:space="preserve"> СанПиН 2.3/2.4.3590-20; </w:t>
      </w:r>
      <w:hyperlink r:id="rId44">
        <w:r>
          <w:rPr>
            <w:color w:val="0000FF"/>
          </w:rPr>
          <w:t>таблица 6.20</w:t>
        </w:r>
      </w:hyperlink>
      <w:r>
        <w:t xml:space="preserve"> СанПиН 1.2.3685-21.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При организации питания не рекомендуется использовать пищевые продукты, для которых не могут быть обеспечены условия хранения, установленные изготовителями, а также пищевые продукты, которые не рекомендуется использовать для организации питания детей.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Пищу рекомендуется готовить на каждый прием с употреблением в течение 1 часа с момента ее приготовления. Подогрев готовых блюд не рекомендуется.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Title"/>
        <w:jc w:val="center"/>
        <w:outlineLvl w:val="0"/>
      </w:pPr>
      <w:r>
        <w:t>IV. Рекомендации к допуску и заезду в палаточный лагерь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4.1. Дети принимаются в палаточный лагерь при наличии медицинской справки о состоянии здоровья ребенка &lt;25&gt;.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&lt;25&gt; </w:t>
      </w:r>
      <w:hyperlink r:id="rId45">
        <w:r>
          <w:rPr>
            <w:color w:val="0000FF"/>
          </w:rPr>
          <w:t>Приложения 17</w:t>
        </w:r>
      </w:hyperlink>
      <w:r>
        <w:t xml:space="preserve">, </w:t>
      </w:r>
      <w:hyperlink r:id="rId46">
        <w:r>
          <w:rPr>
            <w:color w:val="0000FF"/>
          </w:rPr>
          <w:t>18</w:t>
        </w:r>
      </w:hyperlink>
      <w:r>
        <w:t xml:space="preserve"> приказа Минздрава России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 36160); </w:t>
      </w:r>
      <w:hyperlink r:id="rId47">
        <w:r>
          <w:rPr>
            <w:color w:val="0000FF"/>
          </w:rPr>
          <w:t>пункт 4</w:t>
        </w:r>
      </w:hyperlink>
      <w:r>
        <w:t xml:space="preserve"> Порядка оказания медицинской помощи несовершеннолетним в период оздоровления и организованного отдыха, утвержденного приказом Минздрава России от 13.06.2018 N 327н (зарегистрирован Минюстом России 22.08.2018, регистрационный N 51970) (далее - Порядок оказания медицинской помощи несовершеннолетним в период оздоровления и организованного отдыха); </w:t>
      </w:r>
      <w:hyperlink r:id="rId48">
        <w:r>
          <w:rPr>
            <w:color w:val="0000FF"/>
          </w:rPr>
          <w:t>пункт 3.13.2</w:t>
        </w:r>
      </w:hyperlink>
      <w:r>
        <w:t xml:space="preserve"> СП 2.4.3648-20.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Допуск детей в палаточный лагерь после перенесенного заболевания осуществляется при наличии медицинского заключения (медицинской справки) &lt;26&gt;.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&lt;26&gt; </w:t>
      </w:r>
      <w:hyperlink r:id="rId49">
        <w:r>
          <w:rPr>
            <w:color w:val="0000FF"/>
          </w:rPr>
          <w:t>Пункт 2.9.4</w:t>
        </w:r>
      </w:hyperlink>
      <w:r>
        <w:t xml:space="preserve"> СП 2.4.3648-20.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4.2. До заезда детей в палаточный лагерь рекомендуется запрашивать у родителей (законных представителей) информацию об особенностях состояния здоровья детей.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Title"/>
        <w:jc w:val="center"/>
        <w:outlineLvl w:val="0"/>
      </w:pPr>
      <w:r>
        <w:t>V. Рекомендации по организации</w:t>
      </w:r>
    </w:p>
    <w:p w:rsidR="006E4758" w:rsidRDefault="006E4758">
      <w:pPr>
        <w:pStyle w:val="ConsPlusTitle"/>
        <w:jc w:val="center"/>
      </w:pPr>
      <w:r>
        <w:t>санитарно-противоэпидемических (профилактических)</w:t>
      </w:r>
    </w:p>
    <w:p w:rsidR="006E4758" w:rsidRDefault="006E4758">
      <w:pPr>
        <w:pStyle w:val="ConsPlusTitle"/>
        <w:jc w:val="center"/>
      </w:pPr>
      <w:r>
        <w:t>мероприятий в палаточных лагерях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5.1. Оказание первой помощи и медицинской помощи осуществляется в соответствии с законодательством в сфере охраны здоровья &lt;27&gt;.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&lt;27&gt; </w:t>
      </w:r>
      <w:hyperlink r:id="rId50">
        <w:r>
          <w:rPr>
            <w:color w:val="0000FF"/>
          </w:rPr>
          <w:t>Пункт 2.9.1</w:t>
        </w:r>
      </w:hyperlink>
      <w:r>
        <w:t xml:space="preserve"> СП 2.4.3648-20; </w:t>
      </w:r>
      <w:hyperlink r:id="rId51">
        <w:r>
          <w:rPr>
            <w:color w:val="0000FF"/>
          </w:rPr>
          <w:t>Порядок</w:t>
        </w:r>
      </w:hyperlink>
      <w:r>
        <w:t xml:space="preserve"> оказания медицинской помощи несовершеннолетним в период оздоровления и организованного отдыха.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С целью своевременного и качественного оказания медицинской помощи рекомендуется разработать маршрутизацию заболевших (пострадавших) в случае необходимости оказания специализированной помощи детям и госпитализации (способы и пути эвакуации).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5.2. В целях предотвращения возникновения и распространения инфекционных и неинфекционных заболеваний и пищевых отравлений в палаточном лагере осуществляются санитарно-противоэпидемические (профилактические) мероприятия в соответствии с санитарно-</w:t>
      </w:r>
      <w:r>
        <w:lastRenderedPageBreak/>
        <w:t>эпидемиологическими требованиями &lt;28&gt;.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&lt;28&gt; </w:t>
      </w:r>
      <w:hyperlink r:id="rId52">
        <w:r>
          <w:rPr>
            <w:color w:val="0000FF"/>
          </w:rPr>
          <w:t>Пункт 2.9.5</w:t>
        </w:r>
      </w:hyperlink>
      <w:r>
        <w:t xml:space="preserve"> СП 2.4.3648-20.</w:t>
      </w:r>
    </w:p>
    <w:p w:rsidR="006E4758" w:rsidRDefault="006E4758">
      <w:pPr>
        <w:pStyle w:val="ConsPlusNormal"/>
        <w:ind w:firstLine="540"/>
        <w:jc w:val="both"/>
      </w:pPr>
    </w:p>
    <w:p w:rsidR="006E4758" w:rsidRDefault="006E4758">
      <w:pPr>
        <w:pStyle w:val="ConsPlusNormal"/>
        <w:ind w:firstLine="540"/>
        <w:jc w:val="both"/>
      </w:pPr>
      <w:r>
        <w:t>5.3. Осмотры детей и молодежи, а также сотрудников палаточного лагеря рекомендуется проводить не менее 2-х раз в день на предмет выявления лиц с признаками инфекционных заболеваний, присасывания клещей, на педикулез не реже 1 раза в 7 дней с ведением документации, а также своевременное выявление, отстранение от работы и изоляцию лиц с признаками инфекционных заболеваний.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>5.4. При температуре воздуха выше плюс 28 °C рекомендуется принимать профилактические меры для предупреждения перегрева и теплового удара у детей (например, проводить мероприятия в часы наименьшей инсоляции, контролировать наличие у детей головных уборов, соблюдать питьевой режим, не проводить мероприятия с интенсивной физической нагрузкой).</w:t>
      </w:r>
    </w:p>
    <w:p w:rsidR="006E4758" w:rsidRDefault="006E4758">
      <w:pPr>
        <w:pStyle w:val="ConsPlusNormal"/>
        <w:jc w:val="center"/>
      </w:pPr>
    </w:p>
    <w:p w:rsidR="006E4758" w:rsidRDefault="006E4758">
      <w:pPr>
        <w:pStyle w:val="ConsPlusTitle"/>
        <w:jc w:val="center"/>
        <w:outlineLvl w:val="0"/>
      </w:pPr>
      <w:r>
        <w:t>Нормативные и методические документы</w:t>
      </w:r>
    </w:p>
    <w:p w:rsidR="006E4758" w:rsidRDefault="006E4758">
      <w:pPr>
        <w:pStyle w:val="ConsPlusNormal"/>
        <w:jc w:val="center"/>
      </w:pPr>
    </w:p>
    <w:p w:rsidR="006E4758" w:rsidRDefault="006E4758">
      <w:pPr>
        <w:pStyle w:val="ConsPlusNormal"/>
        <w:ind w:firstLine="540"/>
        <w:jc w:val="both"/>
      </w:pPr>
      <w:r>
        <w:t xml:space="preserve">1. Федеральный </w:t>
      </w:r>
      <w:hyperlink r:id="rId53">
        <w:r>
          <w:rPr>
            <w:color w:val="0000FF"/>
          </w:rPr>
          <w:t>закон</w:t>
        </w:r>
      </w:hyperlink>
      <w:r>
        <w:t xml:space="preserve"> от 30.03.1999 N 52-ФЗ "О санитарно-эпидемиологическом благополучии населения".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2. Федеральный </w:t>
      </w:r>
      <w:hyperlink r:id="rId54">
        <w:r>
          <w:rPr>
            <w:color w:val="0000FF"/>
          </w:rPr>
          <w:t>закон</w:t>
        </w:r>
      </w:hyperlink>
      <w:r>
        <w:t xml:space="preserve"> от 24.07.1998 N 124-ФЗ "Об основных гарантиях прав ребенка в Российской Федерации".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3. </w:t>
      </w:r>
      <w:hyperlink r:id="rId55">
        <w:r>
          <w:rPr>
            <w:color w:val="0000FF"/>
          </w:rPr>
          <w:t>Перечень</w:t>
        </w:r>
      </w:hyperlink>
      <w:r>
        <w:t xml:space="preserve"> продукции (товаров), подлежащей государственной регистрации,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4. </w:t>
      </w:r>
      <w:hyperlink r:id="rId56">
        <w:r>
          <w:rPr>
            <w:color w:val="0000FF"/>
          </w:rPr>
          <w:t>Решение</w:t>
        </w:r>
      </w:hyperlink>
      <w:r>
        <w:t xml:space="preserve"> Коллегии Евразийской экономической комиссии от 30.06.2017 N 80 "О свидетельствах о государственной регистрации продукции".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5. </w:t>
      </w:r>
      <w:hyperlink r:id="rId57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6. </w:t>
      </w:r>
      <w:hyperlink r:id="rId58">
        <w:r>
          <w:rPr>
            <w:color w:val="0000FF"/>
          </w:rPr>
          <w:t>СанПиН 1.2.3685-21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7. </w:t>
      </w:r>
      <w:hyperlink r:id="rId59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 требования к организации общественного питания населения".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8. </w:t>
      </w:r>
      <w:hyperlink r:id="rId60">
        <w:r>
          <w:rPr>
            <w:color w:val="0000FF"/>
          </w:rPr>
          <w:t>СанПиН 2.1.4.1110-02</w:t>
        </w:r>
      </w:hyperlink>
      <w:r>
        <w:t xml:space="preserve"> "Зоны санитарной охраны источников водоснабжения и водопроводов питьевого назначения".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9. </w:t>
      </w:r>
      <w:hyperlink r:id="rId61">
        <w:r>
          <w:rPr>
            <w:color w:val="0000FF"/>
          </w:rPr>
          <w:t>СанПиН 3.3686-21</w:t>
        </w:r>
      </w:hyperlink>
      <w:r>
        <w:t xml:space="preserve"> "Санитарно-эпидемиологические требования по профилактике инфекционных болезней".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10. </w:t>
      </w:r>
      <w:hyperlink r:id="rId62">
        <w:r>
          <w:rPr>
            <w:color w:val="0000FF"/>
          </w:rPr>
          <w:t>Приказ</w:t>
        </w:r>
      </w:hyperlink>
      <w:r>
        <w:t xml:space="preserve"> Роспотребнадзора от 19.07.2007 N 224 "О санитарно-эпидемиологических экспертизах, обследованиях, исследованиях, испытаниях и токсикологических, гигиенических и иных видах оценок".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11. </w:t>
      </w:r>
      <w:hyperlink r:id="rId63">
        <w:r>
          <w:rPr>
            <w:color w:val="0000FF"/>
          </w:rPr>
          <w:t>Приказ</w:t>
        </w:r>
      </w:hyperlink>
      <w:r>
        <w:t xml:space="preserve"> Роспотребнадзора от 05.11.2020 N 747 "Об утверждении Административного регламента Федеральной службы по надзору в сфере защиты прав потребителей и благополучия человека по предоставлению государственной услуги по выдаче санитарно-эпидемиологических заключений на основании результатов санитарно-эпидемиологических экспертиз, расследований, </w:t>
      </w:r>
      <w:r>
        <w:lastRenderedPageBreak/>
        <w:t>обследований, исследований, испытаний, токсикологических, гигиенических и иных видов оценок соблюдения санитарно-эпидемиологических и гигиенических требований".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12. </w:t>
      </w:r>
      <w:hyperlink r:id="rId64">
        <w:r>
          <w:rPr>
            <w:color w:val="0000FF"/>
          </w:rPr>
          <w:t>Приказ</w:t>
        </w:r>
      </w:hyperlink>
      <w:r>
        <w:t xml:space="preserve"> Минобрнауки России от 13.07.2017 N 656 "Об утверждении примерных положений об организациях отдыха детей и их оздоровления".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13. </w:t>
      </w:r>
      <w:hyperlink r:id="rId65">
        <w:r>
          <w:rPr>
            <w:color w:val="0000FF"/>
          </w:rPr>
          <w:t>Приказ</w:t>
        </w:r>
      </w:hyperlink>
      <w:r>
        <w:t xml:space="preserve"> Минпросвещения России и Минэкономразвития России от 19.12.2019 N 702/811 "Об утверждении общих требований к организации и проведению о природной среде следующих мероприятий с участием детей, являющихся членами организованной группы несовершеннолетних туристов: прохождения туристских маршрутов, других маршрутов передвижения, походов, экспедиций, слетов и иных аналогичных мероприятий, а также указанных мероприятий с участием организованных групп детей, проводимых организациями, осуществляющими образовательную деятельность, и организациями отдыха детей и их оздоровления, и к порядку уведомления уполномоченных органов государственной власти о месте, сроках и длительности проведения таких мероприятий".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14. </w:t>
      </w:r>
      <w:hyperlink r:id="rId66">
        <w:r>
          <w:rPr>
            <w:color w:val="0000FF"/>
          </w:rPr>
          <w:t>Приказ</w:t>
        </w:r>
      </w:hyperlink>
      <w:r>
        <w:t xml:space="preserve"> Минспорта России от 22.04.2021 N 255 "Об утверждении правил вида спорта "спортивный туризм".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15. </w:t>
      </w:r>
      <w:hyperlink r:id="rId67">
        <w:r>
          <w:rPr>
            <w:color w:val="0000FF"/>
          </w:rPr>
          <w:t>Правила</w:t>
        </w:r>
      </w:hyperlink>
      <w:r>
        <w:t xml:space="preserve"> организации и проведения соревнований обучающихся Российской Федерации "Школа безопасности".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16. </w:t>
      </w:r>
      <w:hyperlink r:id="rId68">
        <w:r>
          <w:rPr>
            <w:color w:val="0000FF"/>
          </w:rPr>
          <w:t>Приказ</w:t>
        </w:r>
      </w:hyperlink>
      <w:r>
        <w:t xml:space="preserve"> Минздрава России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17. </w:t>
      </w:r>
      <w:hyperlink r:id="rId69">
        <w:r>
          <w:rPr>
            <w:color w:val="0000FF"/>
          </w:rPr>
          <w:t>Приказ</w:t>
        </w:r>
      </w:hyperlink>
      <w:r>
        <w:t xml:space="preserve"> Минздрава России от 13.06.2018 N 327н "Об утверждении Порядка оказания медицинской помощи несовершеннолетним в период оздоровления и организованного отдыха".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18. </w:t>
      </w:r>
      <w:hyperlink r:id="rId70">
        <w:r>
          <w:rPr>
            <w:color w:val="0000FF"/>
          </w:rPr>
          <w:t>МР 2.4.0324-23</w:t>
        </w:r>
      </w:hyperlink>
      <w:r>
        <w:t xml:space="preserve"> "Алгоритм по проведению оценки соответствия организаций отдыха детей и их оздоровления обязательным требованиям".</w:t>
      </w:r>
    </w:p>
    <w:p w:rsidR="006E4758" w:rsidRDefault="006E4758">
      <w:pPr>
        <w:pStyle w:val="ConsPlusNormal"/>
        <w:spacing w:before="220"/>
        <w:ind w:firstLine="540"/>
        <w:jc w:val="both"/>
      </w:pPr>
      <w:r>
        <w:t xml:space="preserve">19. </w:t>
      </w:r>
      <w:hyperlink r:id="rId71">
        <w:r>
          <w:rPr>
            <w:color w:val="0000FF"/>
          </w:rPr>
          <w:t>МР 2.3.6.0233-21</w:t>
        </w:r>
      </w:hyperlink>
      <w:r>
        <w:t xml:space="preserve"> "Методические рекомендации к организации общественного питания населения".</w:t>
      </w:r>
    </w:p>
    <w:p w:rsidR="006E4758" w:rsidRDefault="006E4758">
      <w:pPr>
        <w:pStyle w:val="ConsPlusNormal"/>
        <w:jc w:val="both"/>
      </w:pPr>
    </w:p>
    <w:p w:rsidR="006E4758" w:rsidRDefault="006E4758">
      <w:pPr>
        <w:pStyle w:val="ConsPlusNormal"/>
        <w:jc w:val="both"/>
      </w:pPr>
    </w:p>
    <w:p w:rsidR="006E4758" w:rsidRDefault="006E475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C19DF" w:rsidRDefault="002C19DF">
      <w:bookmarkStart w:id="0" w:name="_GoBack"/>
      <w:bookmarkEnd w:id="0"/>
    </w:p>
    <w:sectPr w:rsidR="002C19DF" w:rsidSect="00594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758"/>
    <w:rsid w:val="002C19DF"/>
    <w:rsid w:val="006E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564293-2C59-40D2-A0EF-087C7B19D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475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E475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E475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ZB&amp;n=371594&amp;dst=100634" TargetMode="External"/><Relationship Id="rId21" Type="http://schemas.openxmlformats.org/officeDocument/2006/relationships/hyperlink" Target="https://login.consultant.ru/link/?req=doc&amp;base=RZB&amp;n=446171&amp;dst=102" TargetMode="External"/><Relationship Id="rId42" Type="http://schemas.openxmlformats.org/officeDocument/2006/relationships/hyperlink" Target="https://login.consultant.ru/link/?req=doc&amp;base=RZB&amp;n=367564&amp;dst=100285" TargetMode="External"/><Relationship Id="rId47" Type="http://schemas.openxmlformats.org/officeDocument/2006/relationships/hyperlink" Target="https://login.consultant.ru/link/?req=doc&amp;base=RZB&amp;n=333347&amp;dst=100035" TargetMode="External"/><Relationship Id="rId63" Type="http://schemas.openxmlformats.org/officeDocument/2006/relationships/hyperlink" Target="https://login.consultant.ru/link/?req=doc&amp;base=RZB&amp;n=386737" TargetMode="External"/><Relationship Id="rId68" Type="http://schemas.openxmlformats.org/officeDocument/2006/relationships/hyperlink" Target="https://login.consultant.ru/link/?req=doc&amp;base=RZB&amp;n=36943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B&amp;n=446171&amp;dst=149" TargetMode="External"/><Relationship Id="rId29" Type="http://schemas.openxmlformats.org/officeDocument/2006/relationships/hyperlink" Target="https://login.consultant.ru/link/?req=doc&amp;base=RZB&amp;n=419887&amp;dst=102077" TargetMode="External"/><Relationship Id="rId11" Type="http://schemas.openxmlformats.org/officeDocument/2006/relationships/hyperlink" Target="https://login.consultant.ru/link/?req=doc&amp;base=RZB&amp;n=391293" TargetMode="External"/><Relationship Id="rId24" Type="http://schemas.openxmlformats.org/officeDocument/2006/relationships/hyperlink" Target="https://login.consultant.ru/link/?req=doc&amp;base=RZB&amp;n=314556" TargetMode="External"/><Relationship Id="rId32" Type="http://schemas.openxmlformats.org/officeDocument/2006/relationships/hyperlink" Target="https://login.consultant.ru/link/?req=doc&amp;base=RZB&amp;n=455106" TargetMode="External"/><Relationship Id="rId37" Type="http://schemas.openxmlformats.org/officeDocument/2006/relationships/hyperlink" Target="https://login.consultant.ru/link/?req=doc&amp;base=RZB&amp;n=371594&amp;dst=100638" TargetMode="External"/><Relationship Id="rId40" Type="http://schemas.openxmlformats.org/officeDocument/2006/relationships/hyperlink" Target="https://login.consultant.ru/link/?req=doc&amp;base=RZB&amp;n=371594&amp;dst=100077" TargetMode="External"/><Relationship Id="rId45" Type="http://schemas.openxmlformats.org/officeDocument/2006/relationships/hyperlink" Target="https://login.consultant.ru/link/?req=doc&amp;base=RZB&amp;n=369436&amp;dst=35" TargetMode="External"/><Relationship Id="rId53" Type="http://schemas.openxmlformats.org/officeDocument/2006/relationships/hyperlink" Target="https://login.consultant.ru/link/?req=doc&amp;base=RZB&amp;n=452886&amp;dst=227" TargetMode="External"/><Relationship Id="rId58" Type="http://schemas.openxmlformats.org/officeDocument/2006/relationships/hyperlink" Target="https://login.consultant.ru/link/?req=doc&amp;base=RZB&amp;n=441707&amp;dst=158352" TargetMode="External"/><Relationship Id="rId66" Type="http://schemas.openxmlformats.org/officeDocument/2006/relationships/hyperlink" Target="https://login.consultant.ru/link/?req=doc&amp;base=RZB&amp;n=391293" TargetMode="External"/><Relationship Id="rId5" Type="http://schemas.openxmlformats.org/officeDocument/2006/relationships/hyperlink" Target="https://login.consultant.ru/link/?req=doc&amp;base=RZB&amp;n=371594&amp;dst=100627" TargetMode="External"/><Relationship Id="rId61" Type="http://schemas.openxmlformats.org/officeDocument/2006/relationships/hyperlink" Target="https://login.consultant.ru/link/?req=doc&amp;base=RZB&amp;n=419887&amp;dst=100081" TargetMode="External"/><Relationship Id="rId19" Type="http://schemas.openxmlformats.org/officeDocument/2006/relationships/hyperlink" Target="https://login.consultant.ru/link/?req=doc&amp;base=RZB&amp;n=446171&amp;dst=88" TargetMode="External"/><Relationship Id="rId14" Type="http://schemas.openxmlformats.org/officeDocument/2006/relationships/hyperlink" Target="https://login.consultant.ru/link/?req=doc&amp;base=RZB&amp;n=441707&amp;dst=100137" TargetMode="External"/><Relationship Id="rId22" Type="http://schemas.openxmlformats.org/officeDocument/2006/relationships/hyperlink" Target="https://login.consultant.ru/link/?req=doc&amp;base=RZB&amp;n=452886&amp;dst=126" TargetMode="External"/><Relationship Id="rId27" Type="http://schemas.openxmlformats.org/officeDocument/2006/relationships/hyperlink" Target="https://login.consultant.ru/link/?req=doc&amp;base=RZB&amp;n=419887&amp;dst=100275" TargetMode="External"/><Relationship Id="rId30" Type="http://schemas.openxmlformats.org/officeDocument/2006/relationships/hyperlink" Target="https://login.consultant.ru/link/?req=doc&amp;base=RZB&amp;n=419887&amp;dst=103477" TargetMode="External"/><Relationship Id="rId35" Type="http://schemas.openxmlformats.org/officeDocument/2006/relationships/hyperlink" Target="https://login.consultant.ru/link/?req=doc&amp;base=LAW&amp;n=13040&amp;dst=100034" TargetMode="External"/><Relationship Id="rId43" Type="http://schemas.openxmlformats.org/officeDocument/2006/relationships/hyperlink" Target="https://login.consultant.ru/link/?req=doc&amp;base=RZB&amp;n=367564&amp;dst=100208" TargetMode="External"/><Relationship Id="rId48" Type="http://schemas.openxmlformats.org/officeDocument/2006/relationships/hyperlink" Target="https://login.consultant.ru/link/?req=doc&amp;base=RZB&amp;n=371594&amp;dst=100629" TargetMode="External"/><Relationship Id="rId56" Type="http://schemas.openxmlformats.org/officeDocument/2006/relationships/hyperlink" Target="https://login.consultant.ru/link/?req=doc&amp;base=RZB&amp;n=455106" TargetMode="External"/><Relationship Id="rId64" Type="http://schemas.openxmlformats.org/officeDocument/2006/relationships/hyperlink" Target="https://login.consultant.ru/link/?req=doc&amp;base=RZB&amp;n=221686&amp;dst=100148" TargetMode="External"/><Relationship Id="rId69" Type="http://schemas.openxmlformats.org/officeDocument/2006/relationships/hyperlink" Target="https://login.consultant.ru/link/?req=doc&amp;base=RZB&amp;n=333347&amp;dst=100013" TargetMode="External"/><Relationship Id="rId8" Type="http://schemas.openxmlformats.org/officeDocument/2006/relationships/hyperlink" Target="https://login.consultant.ru/link/?req=doc&amp;base=LAW&amp;n=350550" TargetMode="External"/><Relationship Id="rId51" Type="http://schemas.openxmlformats.org/officeDocument/2006/relationships/hyperlink" Target="https://login.consultant.ru/link/?req=doc&amp;base=RZB&amp;n=333347&amp;dst=100013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EXP&amp;n=617763" TargetMode="External"/><Relationship Id="rId17" Type="http://schemas.openxmlformats.org/officeDocument/2006/relationships/hyperlink" Target="https://login.consultant.ru/link/?req=doc&amp;base=RZB&amp;n=221686" TargetMode="External"/><Relationship Id="rId25" Type="http://schemas.openxmlformats.org/officeDocument/2006/relationships/hyperlink" Target="https://login.consultant.ru/link/?req=doc&amp;base=RZB&amp;n=371594&amp;dst=100083" TargetMode="External"/><Relationship Id="rId33" Type="http://schemas.openxmlformats.org/officeDocument/2006/relationships/hyperlink" Target="https://login.consultant.ru/link/?req=doc&amp;base=RZB&amp;n=452886&amp;dst=100141" TargetMode="External"/><Relationship Id="rId38" Type="http://schemas.openxmlformats.org/officeDocument/2006/relationships/hyperlink" Target="https://login.consultant.ru/link/?req=doc&amp;base=RZB&amp;n=371594&amp;dst=100638" TargetMode="External"/><Relationship Id="rId46" Type="http://schemas.openxmlformats.org/officeDocument/2006/relationships/hyperlink" Target="https://login.consultant.ru/link/?req=doc&amp;base=RZB&amp;n=369436&amp;dst=56" TargetMode="External"/><Relationship Id="rId59" Type="http://schemas.openxmlformats.org/officeDocument/2006/relationships/hyperlink" Target="https://login.consultant.ru/link/?req=doc&amp;base=RZB&amp;n=367564&amp;dst=100283" TargetMode="External"/><Relationship Id="rId67" Type="http://schemas.openxmlformats.org/officeDocument/2006/relationships/hyperlink" Target="https://login.consultant.ru/link/?req=doc&amp;base=EXP&amp;n=617763" TargetMode="External"/><Relationship Id="rId20" Type="http://schemas.openxmlformats.org/officeDocument/2006/relationships/hyperlink" Target="https://login.consultant.ru/link/?req=doc&amp;base=RZB&amp;n=371594&amp;dst=100066" TargetMode="External"/><Relationship Id="rId41" Type="http://schemas.openxmlformats.org/officeDocument/2006/relationships/hyperlink" Target="https://login.consultant.ru/link/?req=doc&amp;base=RZB&amp;n=367564&amp;dst=100285" TargetMode="External"/><Relationship Id="rId54" Type="http://schemas.openxmlformats.org/officeDocument/2006/relationships/hyperlink" Target="https://login.consultant.ru/link/?req=doc&amp;base=RZB&amp;n=446171&amp;dst=89" TargetMode="External"/><Relationship Id="rId62" Type="http://schemas.openxmlformats.org/officeDocument/2006/relationships/hyperlink" Target="https://login.consultant.ru/link/?req=doc&amp;base=RZB&amp;n=314556" TargetMode="External"/><Relationship Id="rId70" Type="http://schemas.openxmlformats.org/officeDocument/2006/relationships/hyperlink" Target="https://login.consultant.ru/link/?req=doc&amp;base=RZB&amp;n=47130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441707&amp;dst=158352" TargetMode="External"/><Relationship Id="rId15" Type="http://schemas.openxmlformats.org/officeDocument/2006/relationships/hyperlink" Target="https://login.consultant.ru/link/?req=doc&amp;base=RZB&amp;n=367564&amp;dst=100037" TargetMode="External"/><Relationship Id="rId23" Type="http://schemas.openxmlformats.org/officeDocument/2006/relationships/hyperlink" Target="https://login.consultant.ru/link/?req=doc&amp;base=RZB&amp;n=386737" TargetMode="External"/><Relationship Id="rId28" Type="http://schemas.openxmlformats.org/officeDocument/2006/relationships/hyperlink" Target="https://login.consultant.ru/link/?req=doc&amp;base=RZB&amp;n=419887&amp;dst=101979" TargetMode="External"/><Relationship Id="rId36" Type="http://schemas.openxmlformats.org/officeDocument/2006/relationships/hyperlink" Target="https://login.consultant.ru/link/?req=doc&amp;base=RZB&amp;n=452886&amp;dst=100455" TargetMode="External"/><Relationship Id="rId49" Type="http://schemas.openxmlformats.org/officeDocument/2006/relationships/hyperlink" Target="https://login.consultant.ru/link/?req=doc&amp;base=RZB&amp;n=371594&amp;dst=100260" TargetMode="External"/><Relationship Id="rId57" Type="http://schemas.openxmlformats.org/officeDocument/2006/relationships/hyperlink" Target="https://login.consultant.ru/link/?req=doc&amp;base=RZB&amp;n=371594&amp;dst=100627" TargetMode="External"/><Relationship Id="rId10" Type="http://schemas.openxmlformats.org/officeDocument/2006/relationships/hyperlink" Target="https://login.consultant.ru/link/?req=doc&amp;base=RZB&amp;n=386449" TargetMode="External"/><Relationship Id="rId31" Type="http://schemas.openxmlformats.org/officeDocument/2006/relationships/hyperlink" Target="https://login.consultant.ru/link/?req=doc&amp;base=RZB&amp;n=457529&amp;dst=100047" TargetMode="External"/><Relationship Id="rId44" Type="http://schemas.openxmlformats.org/officeDocument/2006/relationships/hyperlink" Target="https://login.consultant.ru/link/?req=doc&amp;base=RZB&amp;n=441707&amp;dst=159950" TargetMode="External"/><Relationship Id="rId52" Type="http://schemas.openxmlformats.org/officeDocument/2006/relationships/hyperlink" Target="https://login.consultant.ru/link/?req=doc&amp;base=RZB&amp;n=371594&amp;dst=100261" TargetMode="External"/><Relationship Id="rId60" Type="http://schemas.openxmlformats.org/officeDocument/2006/relationships/hyperlink" Target="https://login.consultant.ru/link/?req=doc&amp;base=LAW&amp;n=13040&amp;dst=100013" TargetMode="External"/><Relationship Id="rId65" Type="http://schemas.openxmlformats.org/officeDocument/2006/relationships/hyperlink" Target="https://login.consultant.ru/link/?req=doc&amp;base=LAW&amp;n=350550&amp;dst=100012" TargetMode="External"/><Relationship Id="rId73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B&amp;n=391293" TargetMode="External"/><Relationship Id="rId13" Type="http://schemas.openxmlformats.org/officeDocument/2006/relationships/hyperlink" Target="https://login.consultant.ru/link/?req=doc&amp;base=RZB&amp;n=371594&amp;dst=100047" TargetMode="External"/><Relationship Id="rId18" Type="http://schemas.openxmlformats.org/officeDocument/2006/relationships/hyperlink" Target="https://login.consultant.ru/link/?req=doc&amp;base=RZB&amp;n=446171&amp;dst=102" TargetMode="External"/><Relationship Id="rId39" Type="http://schemas.openxmlformats.org/officeDocument/2006/relationships/hyperlink" Target="https://login.consultant.ru/link/?req=doc&amp;base=RZB&amp;n=371594&amp;dst=100077" TargetMode="External"/><Relationship Id="rId34" Type="http://schemas.openxmlformats.org/officeDocument/2006/relationships/hyperlink" Target="https://login.consultant.ru/link/?req=doc&amp;base=RZB&amp;n=452886&amp;dst=100141" TargetMode="External"/><Relationship Id="rId50" Type="http://schemas.openxmlformats.org/officeDocument/2006/relationships/hyperlink" Target="https://login.consultant.ru/link/?req=doc&amp;base=RZB&amp;n=371594&amp;dst=100255" TargetMode="External"/><Relationship Id="rId55" Type="http://schemas.openxmlformats.org/officeDocument/2006/relationships/hyperlink" Target="https://login.consultant.ru/link/?req=doc&amp;base=RZB&amp;n=457529&amp;dst=100047" TargetMode="External"/><Relationship Id="rId7" Type="http://schemas.openxmlformats.org/officeDocument/2006/relationships/hyperlink" Target="https://login.consultant.ru/link/?req=doc&amp;base=RZB&amp;n=367564&amp;dst=100283" TargetMode="External"/><Relationship Id="rId71" Type="http://schemas.openxmlformats.org/officeDocument/2006/relationships/hyperlink" Target="https://login.consultant.ru/link/?req=doc&amp;base=RZB&amp;n=3783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4745</Words>
  <Characters>27052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1</cp:revision>
  <dcterms:created xsi:type="dcterms:W3CDTF">2024-05-31T09:41:00Z</dcterms:created>
  <dcterms:modified xsi:type="dcterms:W3CDTF">2024-05-31T09:42:00Z</dcterms:modified>
</cp:coreProperties>
</file>