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embeddings/_____Microsoft_Excel13.xlsx" ContentType="application/vnd.openxmlformats-officedocument.spreadsheetml.sheet"/>
  <Override PartName="/word/embeddings/_____Microsoft_Excel7.xlsx" ContentType="application/vnd.openxmlformats-officedocument.spreadsheetml.sheet"/>
  <Override PartName="/word/embeddings/_____Microsoft_Excel2.xlsx" ContentType="application/vnd.openxmlformats-officedocument.spreadsheetml.sheet"/>
  <Override PartName="/word/embeddings/_____Microsoft_Excel11.xlsx" ContentType="application/vnd.openxmlformats-officedocument.spreadsheetml.sheet"/>
  <Override PartName="/word/embeddings/_____Microsoft_Excel12.xlsx" ContentType="application/vnd.openxmlformats-officedocument.spreadsheetml.sheet"/>
  <Override PartName="/word/embeddings/_____Microsoft_Excel10.xlsx" ContentType="application/vnd.openxmlformats-officedocument.spreadsheetml.sheet"/>
  <Override PartName="/word/embeddings/_____Microsoft_Excel6.xlsx" ContentType="application/vnd.openxmlformats-officedocument.spreadsheetml.sheet"/>
  <Override PartName="/word/embeddings/_____Microsoft_Excel5.xlsx" ContentType="application/vnd.openxmlformats-officedocument.spreadsheetml.sheet"/>
  <Override PartName="/word/embeddings/_____Microsoft_Excel9.xlsx" ContentType="application/vnd.openxmlformats-officedocument.spreadsheetml.sheet"/>
  <Override PartName="/word/embeddings/_____Microsoft_Excel4.xlsx" ContentType="application/vnd.openxmlformats-officedocument.spreadsheetml.sheet"/>
  <Override PartName="/word/embeddings/_____Microsoft_Excel8.xlsx" ContentType="application/vnd.openxmlformats-officedocument.spreadsheetml.sheet"/>
  <Override PartName="/word/embeddings/_____Microsoft_Excel1.xlsx" ContentType="application/vnd.openxmlformats-officedocument.spreadsheetml.sheet"/>
  <Override PartName="/word/embeddings/_____Microsoft_Excel14.xlsx" ContentType="application/vnd.openxmlformats-officedocument.spreadsheetml.sheet"/>
  <Override PartName="/word/embeddings/_____Microsoft_Excel3.xlsx" ContentType="application/vnd.openxmlformats-officedocument.spreadsheetml.shee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document.xml" ContentType="application/vnd.openxmlformats-officedocument.wordprocessingml.document.main+xml"/>
  <Override PartName="/word/charts/_rels/chart11.xml.rels" ContentType="application/vnd.openxmlformats-package.relationships+xml"/>
  <Override PartName="/word/charts/_rels/chart14.xml.rels" ContentType="application/vnd.openxmlformats-package.relationships+xml"/>
  <Override PartName="/word/charts/_rels/chart4.xml.rels" ContentType="application/vnd.openxmlformats-package.relationships+xml"/>
  <Override PartName="/word/charts/_rels/chart13.xml.rels" ContentType="application/vnd.openxmlformats-package.relationships+xml"/>
  <Override PartName="/word/charts/_rels/chart3.xml.rels" ContentType="application/vnd.openxmlformats-package.relationships+xml"/>
  <Override PartName="/word/charts/_rels/chart5.xml.rels" ContentType="application/vnd.openxmlformats-package.relationships+xml"/>
  <Override PartName="/word/charts/_rels/chart6.xml.rels" ContentType="application/vnd.openxmlformats-package.relationships+xml"/>
  <Override PartName="/word/charts/_rels/chart7.xml.rels" ContentType="application/vnd.openxmlformats-package.relationships+xml"/>
  <Override PartName="/word/charts/_rels/chart1.xml.rels" ContentType="application/vnd.openxmlformats-package.relationships+xml"/>
  <Override PartName="/word/charts/_rels/chart8.xml.rels" ContentType="application/vnd.openxmlformats-package.relationships+xml"/>
  <Override PartName="/word/charts/_rels/chart12.xml.rels" ContentType="application/vnd.openxmlformats-package.relationships+xml"/>
  <Override PartName="/word/charts/_rels/chart2.xml.rels" ContentType="application/vnd.openxmlformats-package.relationships+xml"/>
  <Override PartName="/word/charts/_rels/chart9.xml.rels" ContentType="application/vnd.openxmlformats-package.relationships+xml"/>
  <Override PartName="/word/charts/_rels/chart10.xml.rels" ContentType="application/vnd.openxmlformats-package.relationships+xml"/>
  <Override PartName="/word/charts/chart14.xml" ContentType="application/vnd.openxmlformats-officedocument.drawingml.chart+xml"/>
  <Override PartName="/word/charts/chart13.xml" ContentType="application/vnd.openxmlformats-officedocument.drawingml.chart+xml"/>
  <Override PartName="/word/charts/chart12.xml" ContentType="application/vnd.openxmlformats-officedocument.drawingml.chart+xml"/>
  <Override PartName="/word/charts/chart11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5.xml" ContentType="application/vnd.openxmlformats-officedocument.drawingml.chart+xml"/>
  <Override PartName="/word/charts/chart10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709" w:righ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>
      <w:pPr>
        <w:pStyle w:val="Normal"/>
        <w:ind w:left="-709" w:righ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состояния детского дорожно-транспортного травматизма</w:t>
      </w:r>
    </w:p>
    <w:p>
      <w:pPr>
        <w:pStyle w:val="Normal"/>
        <w:ind w:left="-709" w:right="-284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территории Свердловской области за восемь месяцев 2021 года</w:t>
      </w:r>
    </w:p>
    <w:p>
      <w:pPr>
        <w:pStyle w:val="Normal"/>
        <w:suppressAutoHyphens w:val="true"/>
        <w:ind w:left="-709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left="-709"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3015615" cy="336232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suppressAutoHyphens w:val="true"/>
        <w:ind w:left="-709" w:right="-1" w:firstLine="709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территории Свердловской области </w:t>
        <w:br/>
        <w:t xml:space="preserve">за восемь месяцев 2021 г. зарегистрировано 246 </w:t>
        <w:br/>
        <w:t xml:space="preserve">(197; +25 %) ДТП с участием несовершеннолетних, в которых 260 </w:t>
        <w:br/>
        <w:t>(221; +17,6%) детей получили травмы различной степени тяжести и 17 (2; +750%) погибли.</w:t>
      </w:r>
    </w:p>
    <w:p>
      <w:pPr>
        <w:pStyle w:val="Normal"/>
        <w:suppressAutoHyphens w:val="true"/>
        <w:ind w:left="-709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Дорожно-транспортные происшествия, в результате которых пострадали дети, составили 13% от общего количества учетных дорожных аварий. Таким образом, дети стали участниками каждого 7 ДТП с пострадавшими в регионе.</w:t>
      </w:r>
    </w:p>
    <w:p>
      <w:pPr>
        <w:pStyle w:val="Normal"/>
        <w:suppressAutoHyphens w:val="true"/>
        <w:ind w:left="-709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ДТП с погибшими детьми зарегистрированы в Екатеринбурге и Каменске-Уральском по 3 (+100%), Ивделе, Серове и Заречном по 2 (+100%), Первоуральске и Реже по 1 (+100%):</w:t>
      </w:r>
    </w:p>
    <w:p>
      <w:pPr>
        <w:pStyle w:val="ConsPlusNormal"/>
        <w:widowControl/>
        <w:numPr>
          <w:ilvl w:val="0"/>
          <w:numId w:val="0"/>
        </w:numPr>
        <w:ind w:left="-709" w:firstLine="567"/>
        <w:jc w:val="both"/>
        <w:outlineLvl w:val="1"/>
        <w:rPr>
          <w:rStyle w:val="Style18"/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 xml:space="preserve">02.01.2021 года около 15 часов в </w:t>
      </w:r>
      <w:r>
        <w:rPr>
          <w:rStyle w:val="Style18"/>
          <w:rFonts w:cs="Times New Roman" w:ascii="Times New Roman" w:hAnsi="Times New Roman"/>
          <w:color w:val="000000" w:themeColor="text1"/>
          <w:sz w:val="26"/>
          <w:szCs w:val="26"/>
        </w:rPr>
        <w:t xml:space="preserve">Каменском </w:t>
      </w:r>
      <w:r>
        <w:rPr>
          <w:rStyle w:val="Style18"/>
          <w:rFonts w:cs="Times New Roman" w:ascii="Times New Roman" w:hAnsi="Times New Roman"/>
          <w:sz w:val="26"/>
          <w:szCs w:val="26"/>
        </w:rPr>
        <w:t xml:space="preserve">городском округе, с. Рыбниковское 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(зона обслуживания МО МВД России «Каменск-Уральский»)</w:t>
      </w:r>
      <w:r>
        <w:rPr>
          <w:rStyle w:val="Style18"/>
          <w:rFonts w:cs="Times New Roman" w:ascii="Times New Roman" w:hAnsi="Times New Roman"/>
          <w:sz w:val="26"/>
          <w:szCs w:val="26"/>
        </w:rPr>
        <w:t xml:space="preserve">, напротив дома №22 по </w:t>
        <w:br/>
        <w:t xml:space="preserve">ул.  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>
        <w:rPr>
          <w:rStyle w:val="Style18"/>
          <w:rFonts w:cs="Times New Roman" w:ascii="Times New Roman" w:hAnsi="Times New Roman"/>
          <w:color w:val="000000" w:themeColor="text1"/>
          <w:sz w:val="26"/>
          <w:szCs w:val="26"/>
        </w:rPr>
        <w:t xml:space="preserve">автомобиля. 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От полученных травм мальчик скончался на месте происшествия.</w:t>
      </w:r>
      <w:r>
        <w:rPr>
          <w:rStyle w:val="Style18"/>
          <w:rFonts w:cs="Times New Roman" w:ascii="Times New Roman" w:hAnsi="Times New Roman"/>
          <w:color w:val="000000" w:themeColor="text1"/>
          <w:sz w:val="26"/>
          <w:szCs w:val="26"/>
        </w:rPr>
        <w:t xml:space="preserve"> </w:t>
      </w:r>
      <w:r>
        <w:rPr>
          <w:rStyle w:val="Style18"/>
          <w:rFonts w:cs="Times New Roman" w:ascii="Times New Roman" w:hAnsi="Times New Roman"/>
          <w:sz w:val="26"/>
          <w:szCs w:val="26"/>
        </w:rPr>
        <w:t>Погибший находился в сопровождении 14-летней сестры</w:t>
      </w:r>
      <w:r>
        <w:rPr>
          <w:rStyle w:val="Style18"/>
          <w:rFonts w:cs="Times New Roman" w:ascii="Times New Roman" w:hAnsi="Times New Roman"/>
          <w:color w:val="000000" w:themeColor="text1"/>
          <w:sz w:val="26"/>
          <w:szCs w:val="26"/>
        </w:rPr>
        <w:t xml:space="preserve"> и еще троих</w:t>
      </w:r>
      <w:r>
        <w:rPr>
          <w:rStyle w:val="Style18"/>
          <w:rFonts w:cs="Times New Roman" w:ascii="Times New Roman" w:hAnsi="Times New Roman"/>
          <w:sz w:val="26"/>
          <w:szCs w:val="26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 Световозвращающие элементы на одежде детей отсутствовали.</w:t>
      </w:r>
    </w:p>
    <w:p>
      <w:pPr>
        <w:pStyle w:val="ConsPlusNormal"/>
        <w:widowControl/>
        <w:numPr>
          <w:ilvl w:val="0"/>
          <w:numId w:val="0"/>
        </w:numPr>
        <w:ind w:left="-709" w:firstLine="567"/>
        <w:jc w:val="both"/>
        <w:outlineLvl w:val="1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 xml:space="preserve">07.02.2021 года около 10.00 часов в Ивдельском районе на 116 км автодороги Ивдель-ХМАО (зона обслуживания МО МВД России «Ивдельский») водитель автомобиля «Тойота Ленд Крузер», при совершении обгона не убедился в безопасности маневра, не учел погодные условия (метель), допустил столкновение с автомобилем «Киа Сид», который двигался во встречном направлении. </w:t>
      </w:r>
      <w:r>
        <w:rPr>
          <w:rFonts w:cs="Times New Roman" w:ascii="Times New Roman" w:hAnsi="Times New Roman"/>
          <w:i/>
          <w:sz w:val="26"/>
          <w:szCs w:val="26"/>
        </w:rPr>
        <w:t>В результате ДТП погибла 8 –летняя девочка, пассажир автомобиля «Киа Сид», которая находилась на заднем пассажирском сидении. Ее 10 летняя сестра, в момент аварии сидела рядом, скончалась во время транспортировки в лечебное учреждение. В автомобиле девочки находились вместе с родителями, все были пристегнуты ремнями безопасности. Семья направлялась из Югорска в Екатеринбург на отдых. Водитель «Киа Сид», отец девочек, скончался на 12 сутки после ДТП, не приходя в сознание.</w:t>
      </w:r>
    </w:p>
    <w:p>
      <w:pPr>
        <w:pStyle w:val="ConsPlusNormal"/>
        <w:widowControl/>
        <w:numPr>
          <w:ilvl w:val="0"/>
          <w:numId w:val="0"/>
        </w:numPr>
        <w:ind w:left="-709" w:firstLine="567"/>
        <w:jc w:val="both"/>
        <w:outlineLvl w:val="1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03.</w:t>
      </w:r>
      <w:r>
        <w:rPr>
          <w:rFonts w:cs="Times New Roman" w:ascii="Times New Roman" w:hAnsi="Times New Roman"/>
          <w:i/>
          <w:sz w:val="26"/>
          <w:szCs w:val="26"/>
        </w:rPr>
        <w:t xml:space="preserve">03.2021 года около 10.00 часов на 88 км автодороги Серов – Сосьва – Гари 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(зона обслуживания МО МВД России «Серовский»)</w:t>
      </w:r>
      <w:r>
        <w:rPr>
          <w:rFonts w:cs="Times New Roman" w:ascii="Times New Roman" w:hAnsi="Times New Roman"/>
          <w:i/>
          <w:sz w:val="26"/>
          <w:szCs w:val="26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грузовым автомобилем «Камаз». В результате ДТП 4-х летний мальчик, пассажир </w:t>
        <w:br/>
        <w:t xml:space="preserve">автомобиля «Рено», от полученных травм скончался во время транспортировки в лечебное учреждение, не приходя в сознание. В момент аварии мальчик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 родители забрали ребенка из детского сада, пояснив воспитателю, что им необходимо ехать в г. Серов к стоматологу.  При этом никто не обратил внимание на плохие погодные условия (снегопад). Автомобилем «Рено» управлял глава семьи, во время движения в салоне находилась семья из четырех человек. </w:t>
      </w:r>
    </w:p>
    <w:p>
      <w:pPr>
        <w:pStyle w:val="ConsPlusNormal"/>
        <w:widowControl/>
        <w:numPr>
          <w:ilvl w:val="0"/>
          <w:numId w:val="0"/>
        </w:numPr>
        <w:ind w:left="-709" w:firstLine="567"/>
        <w:jc w:val="both"/>
        <w:outlineLvl w:val="1"/>
        <w:rPr>
          <w:rFonts w:ascii="Times New Roman" w:hAnsi="Times New Roman" w:cs="Times New Roman"/>
          <w:i/>
          <w:i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i/>
          <w:color w:val="000000" w:themeColor="text1"/>
          <w:sz w:val="26"/>
          <w:szCs w:val="26"/>
        </w:rPr>
        <w:t>14.03.2021 около 19.00 в Заречном районе на 48 км автодороги «Екатеринбург-Тюмень» (зона обслуживания МО МВД России «Заречный»), водитель автомобиля «Киа», не справился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 легкового автомобиля, из них двое –несовершеннолетние, девочка 11 лет и мальчик 15 лет, получили травмы, несовместимые с жизнью и скончались на месте происшествия до прибытия бригады скорой медицинской помощи. В момент ДТП дети находились на заднем пассажирском сидении и не были пристегнуты ремнями безопасности.</w:t>
      </w:r>
      <w:r>
        <w:rPr>
          <w:rFonts w:cs="Times New Roman" w:ascii="Times New Roman" w:hAnsi="Times New Roman"/>
          <w:i/>
          <w:color w:val="000000" w:themeColor="text1"/>
          <w:sz w:val="26"/>
          <w:szCs w:val="26"/>
          <w:shd w:fill="FFFFFF" w:val="clear"/>
        </w:rPr>
        <w:t xml:space="preserve"> Несовершеннолетние со своими законными представителями направлялись домой после отдыха на горячих источниках в г. Тюмень.</w:t>
      </w:r>
    </w:p>
    <w:p>
      <w:pPr>
        <w:pStyle w:val="Default"/>
        <w:ind w:left="-709" w:firstLine="567"/>
        <w:jc w:val="both"/>
        <w:rPr>
          <w:i/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  <w:shd w:fill="FFFFFF" w:val="clear"/>
        </w:rPr>
        <w:t xml:space="preserve">23.03. 2021 года </w:t>
      </w:r>
      <w:r>
        <w:rPr>
          <w:i/>
          <w:color w:val="000000" w:themeColor="text1"/>
          <w:sz w:val="26"/>
          <w:szCs w:val="26"/>
        </w:rPr>
        <w:t>около 17.00 в г. Екатеринбурге на пр. Космонавтов, напротив дома №92, в</w:t>
      </w:r>
      <w:r>
        <w:rPr>
          <w:i/>
          <w:color w:val="000000" w:themeColor="text1"/>
          <w:sz w:val="26"/>
          <w:szCs w:val="26"/>
          <w:shd w:fill="FFFFFF" w:val="clear"/>
        </w:rPr>
        <w:t xml:space="preserve">одитель автомобиля «Ниссан» допустил наезд на 9 летнюю девочку -пешехода, которая перебегала шести полосную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несовершеннолетний пешеход получил травмы несовместимые с жизнью, скончался в автомобиле скорой медицинской помощи. </w:t>
      </w:r>
      <w:r>
        <w:rPr>
          <w:i/>
          <w:color w:val="000000" w:themeColor="text1"/>
          <w:sz w:val="26"/>
          <w:szCs w:val="26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>
      <w:pPr>
        <w:pStyle w:val="Default"/>
        <w:ind w:left="-709" w:firstLine="567"/>
        <w:jc w:val="both"/>
        <w:rPr>
          <w:i/>
          <w:i/>
          <w:color w:val="000000" w:themeColor="text1"/>
          <w:sz w:val="26"/>
          <w:szCs w:val="26"/>
          <w:highlight w:val="white"/>
        </w:rPr>
      </w:pPr>
      <w:r>
        <w:rPr>
          <w:i/>
          <w:color w:val="000000" w:themeColor="text1"/>
          <w:sz w:val="26"/>
          <w:szCs w:val="26"/>
          <w:shd w:fill="FFFFFF" w:val="clear"/>
        </w:rPr>
        <w:t>11.04.2021 года около 22.00 в г. Каменск-Уральский на ул. Алюминиевой напротив дома №43, водитель автомобиля «Форд Мондео» не выдержал безопасную дистанцию и допустил столкновение с попутно движущимся автомобилем «Форд Орион», который после удара выехал за пределы проезжей части и наехал на препятствие в виде дерева. После сильнейших ударов 2-летний пассажир автомобиля «Форд Орион», находящийся на заднем пассажирском сидении в детском удерживающем устройстве, соответствующем росту и весу ребенка и не пристегнутый плечевыми лямками пятиточечного ремня безопасности в автокресле,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не приходя в сознание.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 устройстве, он травм не получил.  Мать погибшего пояснила, что ранее старший сын снимал уже плечевые лямки и она делала ребенку замечания, но в этот раз не заметила.</w:t>
      </w:r>
    </w:p>
    <w:p>
      <w:pPr>
        <w:pStyle w:val="Default"/>
        <w:ind w:left="-709" w:firstLine="709"/>
        <w:jc w:val="both"/>
        <w:rPr>
          <w:i/>
          <w:i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Дукато»,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безопасности, в результате сильной деформации кузова девочка получил травмы, 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>
      <w:pPr>
        <w:pStyle w:val="Default"/>
        <w:ind w:left="-709" w:firstLine="709"/>
        <w:jc w:val="both"/>
        <w:rPr>
          <w:i/>
          <w:i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>13.05.2021 около 17.00 часов по адресу: г. Реж, ул. Советская напротив дома №57, водитель автомобиля «Хендай Солярис»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спустя три часа скончалась в лечебном учреждении, не приходя в сознание. Вторая девочка с закрытой черепно-мозговой травмой, ушибами головы и конечностей госпитализирована. Установлено, что несовершеннолетние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>
      <w:pPr>
        <w:pStyle w:val="Default"/>
        <w:ind w:left="-709" w:firstLine="709"/>
        <w:jc w:val="both"/>
        <w:rPr>
          <w:i/>
          <w:i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 xml:space="preserve">23.05.2021 около 20.00 часов по адресу: Серовский городской округ, </w:t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  <w:br/>
        <w:t>г. Екатеринбурга, где на четвертые сутки скончался, не приходя в сознание. Ребенок попросил у отчима мопед, чтобы прокатиться по поселку. Отчим разрешил, при этом мужчина не знал, что несовершеннолетнему нельзя управлять мопедом. В момент ДТП защитной экипировки и световозвращающих элементов на ребенке не было.</w:t>
      </w:r>
    </w:p>
    <w:p>
      <w:pPr>
        <w:pStyle w:val="Default"/>
        <w:ind w:left="-709" w:firstLine="709"/>
        <w:jc w:val="both"/>
        <w:rPr>
          <w:i/>
          <w:i/>
          <w:color w:val="000000" w:themeColor="text1"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 xml:space="preserve">27.05.2021 около 00.30 часов в Екатеринбурге на 9 км дублера Сибирского тракта водитель автомобиля «Ниссан Альмера», двигаясь со стороны г. Тюмень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9-летний мальчик-пассажир автомобиля «Ниссан Альмера», с переломом основания черепа, закрытой черепно-мозговой травмой госпитализирован в </w:t>
        <w:br/>
        <w:t xml:space="preserve">9 ДГКБ, где на 7 сутки скончался. В момент ДТП ребенок находился на заднем пассажирском сидении </w:t>
      </w:r>
      <w:r>
        <w:rPr>
          <w:i/>
          <w:color w:val="000000" w:themeColor="text1"/>
          <w:sz w:val="26"/>
          <w:szCs w:val="26"/>
          <w:shd w:fill="FFFFFF" w:val="clear"/>
        </w:rPr>
        <w:t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Альмера» - отец ребенка, пояснил, что во время движения отвлекся на сына, из-за чего не заметил стоящий автомобиль.</w:t>
      </w:r>
    </w:p>
    <w:p>
      <w:pPr>
        <w:pStyle w:val="Default"/>
        <w:ind w:left="-709" w:firstLine="709"/>
        <w:jc w:val="both"/>
        <w:rPr>
          <w:i/>
          <w:i/>
          <w:color w:val="000000" w:themeColor="text1"/>
          <w:sz w:val="26"/>
          <w:szCs w:val="26"/>
        </w:rPr>
      </w:pPr>
      <w:r>
        <w:rPr>
          <w:i/>
          <w:color w:val="000000" w:themeColor="text1"/>
          <w:sz w:val="26"/>
          <w:szCs w:val="26"/>
          <w:shd w:fill="FFFFFF" w:val="clear"/>
        </w:rPr>
        <w:t xml:space="preserve">12.06.2021 около 11.30 часов в Ивдельском районе на 136 км автодороги Ивдель-ХМАО </w:t>
      </w:r>
      <w:r>
        <w:rPr>
          <w:i/>
          <w:color w:val="000000" w:themeColor="text1"/>
          <w:sz w:val="26"/>
          <w:szCs w:val="26"/>
        </w:rPr>
        <w:t xml:space="preserve">(зона обслуживания МО МВД России «Ивдельский») </w:t>
      </w:r>
      <w:r>
        <w:rPr>
          <w:i/>
          <w:color w:val="000000" w:themeColor="text1"/>
          <w:sz w:val="26"/>
          <w:szCs w:val="26"/>
          <w:shd w:fill="FFFFFF" w:val="clear"/>
        </w:rPr>
        <w:t xml:space="preserve">водитель автомобиля «Ниссан Кашкай» по неустановленной причине </w:t>
      </w:r>
      <w:r>
        <w:rPr>
          <w:i/>
          <w:color w:val="000000" w:themeColor="text1"/>
          <w:sz w:val="26"/>
          <w:szCs w:val="26"/>
        </w:rPr>
        <w:t>допустил выезд на полосу, предназначенную для встречного движения, где совершил столкновение с автомобилем «Джили Кулрэй». В результате ДТП погибли водитель и три пассажира автомобиля «Ниссан Кашкай», из них двое несовершеннолетние, 9–летняя девочка и 11-летний мальчик, которые находились на заднем пассажирском сидении. В автомобиле дети находились в сопровождении родственников, которые также погибли. Еще одна 15-летняя девочка-пассажир этого автомобиля, в тяжелом состоянии госпитализирована в больницу г. Ивдель. В момент аварии все были пристегнуты ремнями безопасности. Семья направлялась на отдых.</w:t>
      </w:r>
    </w:p>
    <w:p>
      <w:pPr>
        <w:pStyle w:val="Default"/>
        <w:ind w:left="-709" w:firstLine="709"/>
        <w:jc w:val="both"/>
        <w:rPr>
          <w:i/>
          <w:i/>
          <w:sz w:val="26"/>
          <w:szCs w:val="26"/>
        </w:rPr>
      </w:pPr>
      <w:r>
        <w:rPr>
          <w:i/>
          <w:color w:val="000000" w:themeColor="text1"/>
          <w:sz w:val="26"/>
          <w:szCs w:val="26"/>
          <w:shd w:fill="FFFFFF" w:val="clear"/>
        </w:rPr>
        <w:t xml:space="preserve">03.07.2021 около 19.00 часов в Первоуральском районе на </w:t>
      </w:r>
      <w:r>
        <w:rPr>
          <w:i/>
          <w:sz w:val="26"/>
          <w:szCs w:val="26"/>
        </w:rPr>
        <w:t>8 км подъездной автодороги к озеру Глухое</w:t>
      </w:r>
      <w:r>
        <w:rPr>
          <w:i/>
          <w:color w:val="000000" w:themeColor="text1"/>
          <w:sz w:val="26"/>
          <w:szCs w:val="26"/>
          <w:shd w:fill="FFFFFF" w:val="clear"/>
        </w:rPr>
        <w:t xml:space="preserve"> нетрезвый и ранее лишенный права управления </w:t>
      </w:r>
      <w:r>
        <w:rPr>
          <w:i/>
          <w:sz w:val="26"/>
          <w:szCs w:val="26"/>
        </w:rPr>
        <w:t>водитель автомобиля "Фиат Дукато", не обеспечил постоянный контроль за движением, допустил 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>
      <w:pPr>
        <w:pStyle w:val="Default"/>
        <w:ind w:left="-709" w:firstLine="709"/>
        <w:jc w:val="both"/>
        <w:rPr>
          <w:i/>
          <w:i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>04.08.2021 около 20.00 часов по адресу: Белоярский район, поселок Белореченский, ул. Уральская, напротив дома №22, нетрезвый водитель автомобиля «Ваз 21053» не предоставил преимущество в движении и допустил наезд на двух пешеходов, один из которых несовершеннолетний, переходящих проезжую часть дороги по нерегулируемому пешеходному переходу слева направо по ходу движения транспортного средства, после чего продолжил движение, протащил ребенка-пешехода под днищем автомобиля более 50 метров и съехал в правый кювет. В результате ДТП на месте погиб 9-летний мальчик-пешеход. Еще один пешеход, отец ребенка, серьезных травм не получил, за медицинской помощью не обращался.</w:t>
      </w:r>
      <w:r>
        <w:rPr>
          <w:sz w:val="28"/>
          <w:szCs w:val="28"/>
          <w:shd w:fill="FFFFFF" w:val="clear"/>
        </w:rPr>
        <w:t xml:space="preserve"> </w:t>
      </w:r>
      <w:r>
        <w:rPr>
          <w:i/>
          <w:sz w:val="26"/>
          <w:szCs w:val="26"/>
          <w:shd w:fill="FFFFFF" w:val="clear"/>
        </w:rPr>
        <w:t>Отец мальчика во время перехода дороги держал ребенка за руку, автомобиль не заметил, так как он выехал из-за поворота.</w:t>
      </w:r>
      <w:r>
        <w:rPr>
          <w:sz w:val="28"/>
          <w:szCs w:val="28"/>
          <w:shd w:fill="FFFFFF" w:val="clear"/>
        </w:rPr>
        <w:t xml:space="preserve"> </w:t>
      </w:r>
      <w:r>
        <w:rPr>
          <w:i/>
          <w:sz w:val="26"/>
          <w:szCs w:val="26"/>
          <w:shd w:fill="FFFFFF" w:val="clear"/>
        </w:rPr>
        <w:t>Водитель дать какие-либо пояснения по факту ДТП не смог из-за сильнейшего опьянения.</w:t>
      </w:r>
    </w:p>
    <w:p>
      <w:pPr>
        <w:pStyle w:val="Default"/>
        <w:ind w:left="-709" w:firstLine="709"/>
        <w:jc w:val="both"/>
        <w:rPr>
          <w:i/>
          <w:i/>
          <w:color w:val="000000" w:themeColor="text1"/>
          <w:sz w:val="26"/>
          <w:szCs w:val="26"/>
          <w:highlight w:val="white"/>
        </w:rPr>
      </w:pPr>
      <w:r>
        <w:rPr>
          <w:i/>
          <w:sz w:val="26"/>
          <w:szCs w:val="26"/>
          <w:shd w:fill="FFFFFF" w:val="clear"/>
        </w:rPr>
        <w:t>18.08.2021 около 21.00 часов по адресу: г. Каменск-Уральский, ул. Пушкина, напротив дома №1, водитель автомобиля «</w:t>
      </w:r>
      <w:r>
        <w:rPr>
          <w:i/>
          <w:sz w:val="26"/>
          <w:szCs w:val="26"/>
          <w:shd w:fill="FFFFFF" w:val="clear"/>
          <w:lang w:val="en-US"/>
        </w:rPr>
        <w:t>Mazda</w:t>
      </w:r>
      <w:r>
        <w:rPr>
          <w:i/>
          <w:sz w:val="26"/>
          <w:szCs w:val="26"/>
          <w:shd w:fill="FFFFFF" w:val="clear"/>
        </w:rPr>
        <w:t xml:space="preserve"> </w:t>
      </w:r>
      <w:r>
        <w:rPr>
          <w:i/>
          <w:sz w:val="26"/>
          <w:szCs w:val="26"/>
          <w:shd w:fill="FFFFFF" w:val="clear"/>
          <w:lang w:val="en-US"/>
        </w:rPr>
        <w:t>CX</w:t>
      </w:r>
      <w:r>
        <w:rPr>
          <w:i/>
          <w:sz w:val="26"/>
          <w:szCs w:val="26"/>
          <w:shd w:fill="FFFFFF" w:val="clear"/>
        </w:rPr>
        <w:t xml:space="preserve">-5» допустил наезд на двух пешеходов, </w:t>
      </w:r>
      <w:r>
        <w:rPr>
          <w:i/>
          <w:sz w:val="26"/>
          <w:szCs w:val="26"/>
        </w:rPr>
        <w:t>8-летнюю девочку и её 69-летнюю бабушку, которые переходили проезжую часть дороги по линии тротуара перед близко идущей автомашиной, справа налево по ходу движения транспортного средства. После наезда несовершеннолетнего пешехода отбросило на встречную автомашину «</w:t>
      </w:r>
      <w:r>
        <w:rPr>
          <w:i/>
          <w:sz w:val="26"/>
          <w:szCs w:val="26"/>
          <w:lang w:val="en-US"/>
        </w:rPr>
        <w:t>Renault</w:t>
      </w:r>
      <w:r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  <w:lang w:val="en-US"/>
        </w:rPr>
        <w:t>Duster</w:t>
      </w:r>
      <w:r>
        <w:rPr>
          <w:i/>
          <w:sz w:val="26"/>
          <w:szCs w:val="26"/>
        </w:rPr>
        <w:t xml:space="preserve">». В результате ДТП пешеходы от полученных травм скончались на месте ДТП до приезда скорой медицинской помощи. Установлено, что погибшие – это бабушка и ее внучка. Женщина и девочка возвращались от родственников, где были в гостях, родители ребенка в это время были у себя дома. </w:t>
      </w:r>
      <w:r>
        <w:rPr>
          <w:i/>
          <w:sz w:val="26"/>
          <w:szCs w:val="26"/>
          <w:shd w:fill="FFFFFF" w:val="clear"/>
        </w:rPr>
        <w:t>В момент ДТП световозвращающих элементов на пешеходах не было.</w:t>
      </w:r>
    </w:p>
    <w:p>
      <w:pPr>
        <w:pStyle w:val="Normal"/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17 муниципальных образованиях Свердловской области отмечается рост аварийности с участием несовершеннолетних. На 200% увеличилось количество ДТП в Краснотурьинске (9 ДТП) и Верхней Салде (3 ДТП); на 117% в Каменске-Уральском (13 ДТП); на 100% в Серове (6 ДТП), Туринске (5 ДТП), Артях и Лесном (по 4 ДТП), Байкалово, Красноуральске, Кушве, Ревде и Североуральске (по 2 ДТП); на 96,5 % в Екатеринбурге (98 ДТП); на 50% в Березовском (6 ДТП), на 33% в Красноуфимске (4 ДТП), на 17% в Первоуральске (7 ДТП).</w:t>
      </w:r>
    </w:p>
    <w:p>
      <w:pPr>
        <w:pStyle w:val="Normal"/>
        <w:ind w:left="-709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-709" w:firstLine="284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115050" cy="275272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40% (106) пострадавших и погибших в ДТП детей приходится на среднее школьное звено, 39% (105) на начальную школу и 21% (66) на дошкольный возраст, при этом большая часть пострадали и погибли в качестве пассажиров транспортных средств.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 48 случаях ДТП с пострадавшими детьми-пассажирами произошли по причине нарушения ПДД РФ водителем, в чьем автомобиле находились дети, в этих авариях пострадали 55 детей и 8 погибли.</w:t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3028950" cy="224790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r>
        <w:rPr/>
        <w:drawing>
          <wp:inline distT="0" distB="0" distL="0" distR="0">
            <wp:extent cx="3019425" cy="224790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причине нарушения ПДД РФ водителями автотранспортных средств количество ДТП увеличилось на 19% (183), количество раненых в них детей на 12% (199) и погибших на 600% (14).</w:t>
      </w:r>
    </w:p>
    <w:p>
      <w:pPr>
        <w:pStyle w:val="Normal"/>
        <w:ind w:left="-709" w:firstLine="142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268720" cy="165735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76% ДТП (187) произошли при ясной погоде и 24% (59)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В ясную погоду у водителей притупляется внимание из-за яркого солнца и жары.</w:t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219825" cy="1828800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Normal"/>
        <w:ind w:left="-709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80% (195) происшествий с участием несовершеннолетних произошли </w:t>
        <w:br/>
        <w:t xml:space="preserve">в период с 12 ч. 00 мин. до 22 ч. 00 мин., такая тенденция связана с активным пребыванием детей в это время на улице и интенсивностью транспорта. Максимальные значения аварийности зафиксированы с 17 до 19 ч. 00 мин. (62 ДТП, 59 ранены, </w:t>
        <w:br/>
        <w:t>5 погибли), когда дети возвращаются домой из образовательных организаций, учреждений дополнительного образования, спортивных секций, мест проведения отдыха, находятся на улице и проезжей части без сопровождения взрослых.</w:t>
      </w:r>
    </w:p>
    <w:p>
      <w:pPr>
        <w:pStyle w:val="Normal"/>
        <w:ind w:left="-709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096000" cy="1943100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firstLine="426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5762625" cy="2057400"/>
            <wp:effectExtent l="0" t="0" r="0" b="0"/>
            <wp:docPr id="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автомобильных дорогах, расположенных в черте населенных пунктов, зарегистрировано 204 ДТП (+40%), в которых пострадали 213 (+35%) детей </w:t>
        <w:br/>
        <w:t xml:space="preserve">и 8 погибли (+700%). Увеличение количества ДТП в населенных пунктах произошло в </w:t>
      </w:r>
      <w:r>
        <w:rPr>
          <w:sz w:val="28"/>
          <w:szCs w:val="28"/>
        </w:rPr>
        <w:t xml:space="preserve">Екатеринбурге – 106 (+86%); Каменске-Уральском – 10 (+100%); в Березовском </w:t>
        <w:br/>
        <w:t xml:space="preserve">-5 (+150%), Краснотурьинске – 5 (+400%), Серове – 5 (+67%), Туринске - 5 (+100%); </w:t>
        <w:br/>
        <w:t xml:space="preserve">в Лесном 4 (+100%); в Артях -3 (+50%), Верхней Салде и  Пригородном районе (Нижний Тагил) по 3 (+200%); в Заречном, Каменском районе, Кушве, Слободо-Туринском районе по 2 (+100%); в  Артемовском и Красноуфимском районах по 1 (+100%). На автомобильных дорогах вне населенных пунктов зарегистрировано 42 ДТП (-17,6%), травмированы 47 (-25%) детей и 9 погибли (+800%). Из них, на дорогах федерального значения зарегистрировано 11 ДТП (-27%), в которых пострадали 15 детей (-28%) и 2 погибли (+100%). На автомобильных дорогах регионального значения произошло 41 ДТП (-5%), в которых 41 (-16%) ребенок получили травмы различной степени тяжести и 9 погибли (+800%). На дорогах местного значения зарегистрировано </w:t>
        <w:br/>
        <w:t>164 ДТП (+ 39%), в которых травмированы 174 (+38%) ребенка и 6 погибли (+500%).</w:t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Normal"/>
        <w:ind w:left="-709" w:firstLine="284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5876925" cy="2030730"/>
            <wp:effectExtent l="0" t="0" r="0" b="0"/>
            <wp:docPr id="9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Normal"/>
        <w:ind w:left="-709" w:hanging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drawing>
          <wp:anchor behindDoc="0" distT="0" distB="3175" distL="114300" distR="114300" simplePos="0" locked="0" layoutInCell="1" allowOverlap="1" relativeHeight="3">
            <wp:simplePos x="0" y="0"/>
            <wp:positionH relativeFrom="column">
              <wp:posOffset>-414655</wp:posOffset>
            </wp:positionH>
            <wp:positionV relativeFrom="paragraph">
              <wp:posOffset>199390</wp:posOffset>
            </wp:positionV>
            <wp:extent cx="1657350" cy="1711325"/>
            <wp:effectExtent l="0" t="0" r="0" b="0"/>
            <wp:wrapSquare wrapText="bothSides"/>
            <wp:docPr id="10" name="Рисунок 7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7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 w:themeColor="text1"/>
          <w:sz w:val="28"/>
          <w:szCs w:val="28"/>
        </w:rPr>
        <w:t>П</w:t>
      </w:r>
      <w:r>
        <w:rPr>
          <w:b/>
          <w:color w:val="000000" w:themeColor="text1"/>
          <w:sz w:val="28"/>
          <w:szCs w:val="28"/>
        </w:rPr>
        <w:t>о категориям участников дорожного движения показатели распределились следующим образом</w:t>
      </w:r>
      <w:r>
        <w:rPr>
          <w:color w:val="000000" w:themeColor="text1"/>
          <w:sz w:val="28"/>
          <w:szCs w:val="28"/>
        </w:rPr>
        <w:t xml:space="preserve">: </w:t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70AD47" w:themeColor="accent6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 участием </w:t>
      </w:r>
      <w:r>
        <w:rPr>
          <w:b/>
          <w:i/>
          <w:sz w:val="28"/>
          <w:szCs w:val="28"/>
        </w:rPr>
        <w:t>детей - пассажиров</w:t>
      </w:r>
      <w:r>
        <w:rPr>
          <w:sz w:val="28"/>
          <w:szCs w:val="28"/>
        </w:rPr>
        <w:t xml:space="preserve"> зарегистрировано 104 (105; -1%) ДТП, в которых пострадали 119 (122; -2,5%) детей и 11 (1; +1000%) погибли. Из них в возрасте до 12 лет травмированы 89 детей (-1%) и 10 погибли (+100%). 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Доля ДТП с участием детей - пассажиров от общего показателя аварийности с участием детей составила 42%.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709" w:firstLine="426"/>
        <w:jc w:val="center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4114800" cy="1573530"/>
            <wp:effectExtent l="0" t="0" r="0" b="0"/>
            <wp:docPr id="1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13 случаях ДТП водители перевозили юных пассажиров в возрасте до 12 лет с нарушением правил перевозки детей, в этих авариях травмированы 13 несовершеннолетних (11; +30%) и 4 погибли (0; +100%): Екатеринбург 2 ДТП; Заречный, Ивдель, Каменский район, Нижний Тагил, Новая Ляля, Первоуральск, Ревда, Реж, Североуральск, Серов, Тавда по – 1 ДТП. Троих детей перевозили в детских удерживающих устройствах, не соответствующих росту и весу юных пассажиров, еще десять - без детских удерживающих устройств и не пристегнутыми ремнями безопасности. При этом в 9 случаях нарушения перевозки детей допустили отцы.</w:t>
      </w:r>
    </w:p>
    <w:p>
      <w:pPr>
        <w:pStyle w:val="Normal"/>
        <w:ind w:left="-709" w:firstLine="425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6120765" cy="1694815"/>
            <wp:effectExtent l="0" t="0" r="0" b="0"/>
            <wp:docPr id="1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месту расположения в транспортном средстве большая часть пострадавших в момент ДТП находились на заднем пассажирском сидении справа (54) и слева (42).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Подавляющее большинство происшествий, в которых пострадали дети-пассажиры - это столкновения транспортных средств (90; +11%), количество травмированных в них детей увеличилось на 6% (103), погибших на 100% (11). 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Устойчивый рост количества ДТП с участием детей-пассажиров зарегистрирован с 10.00 до 21.00 (86 ДТП, 103 ранены и 9 погибли), с максимальными значениями аварийности в период с 17.00 до 21.00 (42 ДТП, 45 ранены, 5 погибли) и с 09.00 до 13.00 (27 ДТП, 32 ранены, 5 погибли).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Большинство аварий произошло в субботу (21 ДТП, 26 ранены, 3 погибли) и воскресенье (21 ДТП, 25 ранены, 5 погибли).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13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4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 участием</w:t>
      </w:r>
      <w:r>
        <w:rPr>
          <w:b/>
          <w:i/>
          <w:sz w:val="28"/>
          <w:szCs w:val="28"/>
        </w:rPr>
        <w:t xml:space="preserve"> детей-пешеходов </w:t>
      </w:r>
      <w:r>
        <w:rPr>
          <w:sz w:val="28"/>
          <w:szCs w:val="28"/>
        </w:rPr>
        <w:t xml:space="preserve">зарегистрировано </w:t>
        <w:br/>
        <w:t>113 ДТП (70; +61,4%), в которых пострадали 113 (76; +51%) детей</w:t>
        <w:br/>
        <w:t>и 5 погибли (1; +400%). От общего показателя аварийности с участием несовершеннолетних доля ДТП с участием детей- пешеходов составила 45%.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51% (53) увеличилось количество ДТП по собственной неосторожности несовершеннолетних пешеходов, в которых пострадал 51 ребенок (+46%) и 3 погибли (+100%).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Каждый второй наезд на ребенка (45 ДТП) совершен на пешеходном переходе. В таких происшествиях травмированы 46 юных пешеходов (+53%) и 1 погиб (уровень АППГ). </w:t>
      </w:r>
    </w:p>
    <w:p>
      <w:pPr>
        <w:pStyle w:val="Normal"/>
        <w:ind w:left="-709" w:firstLine="720"/>
        <w:jc w:val="center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5700395" cy="1524000"/>
            <wp:effectExtent l="0" t="0" r="0" b="0"/>
            <wp:docPr id="1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28,6% (9) увеличилось количество происшествий с детьми-пешеходами </w:t>
        <w:br/>
        <w:t xml:space="preserve">в темное время суток, когда одним из сопутствующих факторов ДТП стало отсутствие на верхней одежде или рюкзаке ребенка световозвращающих элементов. 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Участниками каждого второго происшествия (63) стали дети-пешеходы в возрасте 8-9 лет (+185%) и 11-12 лет (+300%). Все наезды произошли в городах и населенных пунктах. Наибольшие показатели количества ДТП с участием детей-пешеходов зафиксированы во вторник (22 ДТП; +10%) и пятницу (22 ДТП; +100%), при этом 2 ребенка погибли в среду (+100%), во вторник, четверг и субботу по 1 (+100%). Наименьшее количество наездов зарегистрированы в воскресенье (9 ДТП).  По времени совершения самым опасным является с 15 до 20 часов, в это время произошло 70% ДТП с участием юных пешеходов (80 ДТП, 80 ранены и 5 погибли), при этом максимальные значения зарегистрированы в период с 17 до 18 часов (21 ДТП, 1 погиб). Минимальное количество ДТП по времени совершения произошло в период с 09 до 10 часов (1 ДТП) и с 11 до 12 часов (2 ДТП).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31 случае ДТП (27%)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>
      <w:pPr>
        <w:pStyle w:val="Normal"/>
        <w:ind w:left="-709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социальным харак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теристикам семей, каждый четвертый ребенок-пешеход, попавший в ДТП, воспитывается в неполной семье и воспитанием занимается только один родитель. В девяти случаях ДТП произошли с детьми из многодетных семей, когда ребенок находился в сопровождении братьев, либо сестер. В 25 случаях ДТП с детьми, родители которых не имеют постоянное место работы, </w:t>
        <w:br/>
        <w:t>в 8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>
        <w:rPr>
          <w:b/>
          <w:i/>
          <w:color w:val="000000" w:themeColor="text1"/>
          <w:sz w:val="28"/>
          <w:szCs w:val="28"/>
        </w:rPr>
        <w:t>юных водителей велотранспорта</w:t>
      </w:r>
      <w:r>
        <w:rPr>
          <w:color w:val="000000" w:themeColor="text1"/>
          <w:sz w:val="28"/>
          <w:szCs w:val="28"/>
        </w:rPr>
        <w:t xml:space="preserve"> зарегистрировано 26 ДТП (+62,5%), в результате которых пострадали 26 детей (+62,5%), из них 12 (уровень АППГ) пострадали по собственной неосторожности. При этом во всех случаях у детей отсутствовали средства пассивной защиты (шлем, налокотники, наколенники). </w:t>
      </w:r>
      <w:r>
        <w:rPr>
          <w:sz w:val="28"/>
          <w:szCs w:val="28"/>
        </w:rPr>
        <w:t>Участниками каждого второго случая (12) стали дети-велосипедисты в возрасте 8-9 лет (7; +250%), 12-13 и 15-16 лет (по 4; +300%). Наибольшее количество ДТП зафиксированы в понедельник (7; + 133%) и субботу (6; +200%). По времени совершения самым опасным является с 17 до 19 часов (13).</w:t>
      </w:r>
    </w:p>
    <w:p>
      <w:pPr>
        <w:pStyle w:val="Normal"/>
        <w:ind w:left="-709"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 участием </w:t>
      </w:r>
      <w:r>
        <w:rPr>
          <w:b/>
          <w:i/>
          <w:color w:val="000000" w:themeColor="text1"/>
          <w:sz w:val="28"/>
          <w:szCs w:val="28"/>
        </w:rPr>
        <w:t>юных водителей мототранспорта</w:t>
      </w:r>
      <w:r>
        <w:rPr>
          <w:color w:val="000000" w:themeColor="text1"/>
          <w:sz w:val="28"/>
          <w:szCs w:val="28"/>
        </w:rPr>
        <w:t xml:space="preserve"> зарегистрировано 3 ДТП </w:t>
        <w:br/>
        <w:t xml:space="preserve">(-57%), в результате которых погиб 1 ребенок (+100%), еще 2 получили травмы (-71%). Аварии зарегистрированы в Серове, Первоуральске и Нижнем Тагиле. Во всех случаях дети пострадали по собственной неосторожности. В момент ДТП мотошлемы и защитная экипировка отсутствовали. </w:t>
      </w:r>
    </w:p>
    <w:p>
      <w:pPr>
        <w:pStyle w:val="Normal"/>
        <w:ind w:left="-709" w:hanging="0"/>
        <w:jc w:val="center"/>
        <w:rPr>
          <w:color w:val="000000" w:themeColor="text1"/>
          <w:sz w:val="28"/>
          <w:szCs w:val="28"/>
        </w:rPr>
      </w:pPr>
      <w:r>
        <w:rPr/>
        <w:drawing>
          <wp:inline distT="0" distB="0" distL="0" distR="0">
            <wp:extent cx="5800725" cy="1323975"/>
            <wp:effectExtent l="0" t="0" r="0" b="0"/>
            <wp:docPr id="1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Вина несовершеннолетних </w:t>
      </w:r>
      <w:r>
        <w:rPr>
          <w:color w:val="000000" w:themeColor="text1"/>
          <w:sz w:val="28"/>
          <w:szCs w:val="28"/>
        </w:rPr>
        <w:t xml:space="preserve">усматривается в 68 ДТП из 246 и составляет 28% от общего количества дорожных аварий с участием детей: Екатеринбург 34 </w:t>
        <w:br/>
        <w:t xml:space="preserve">(1 погиб; +79%); Краснотурьинск 4 (+100%); Арти (+200%), Каменск-Уральский  </w:t>
        <w:br/>
        <w:t xml:space="preserve">(1 погиб), Заречный по 3 (+100%); Нижний Тагил 3 (-50%); Байкалово, Березовский, Первоуральск, Реж (1 погиб) и Туринск по 2 (+100%); Верхняя Салда, Нижние Серги, Талица, Тугулым по 1 (+100%);  Богданович, Сысерть по 1 (уровень АППГ); Серов </w:t>
        <w:br/>
        <w:t>(1 погиб), Красноуфимск по 1 (-50%). Основными нарушениями ПДД РФ, допущенными юными пешеходами, стали переход проезжей части в неустановленном месте, в зоне видимости пешеходного перехода (29), неожиданный выход на проезжую часть из-за стоящего транспортного средства, сооружений или деревьев (14), неподчинение сигналам регулирования (5) и нахождение на проезжей части без цели перехода (2), иные нарушения ПДД пешеходами (3); детьми-велосипедистами – пересечение проезжей части дороги по пешеходному переходу, не спешившись (5); не предоставление преимущества в движении при выезде с прилегающей территории, второстепенной дороги (10).</w:t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/>
        <w:drawing>
          <wp:inline distT="0" distB="0" distL="0" distR="0">
            <wp:extent cx="5800725" cy="2609850"/>
            <wp:effectExtent l="0" t="0" r="0" b="0"/>
            <wp:docPr id="1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pStyle w:val="Normal"/>
        <w:ind w:left="-709" w:firstLine="72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left="-709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-709" w:firstLine="720"/>
        <w:jc w:val="both"/>
        <w:rPr>
          <w:i/>
          <w:i/>
          <w:sz w:val="28"/>
          <w:szCs w:val="28"/>
        </w:rPr>
      </w:pPr>
      <w:r>
        <w:rPr/>
      </w:r>
    </w:p>
    <w:sectPr>
      <w:headerReference w:type="default" r:id="rId18"/>
      <w:type w:val="nextPage"/>
      <w:pgSz w:w="11906" w:h="16838"/>
      <w:pgMar w:left="1701" w:right="566" w:header="708" w:top="851" w:footer="0" w:bottom="56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Segoe UI">
    <w:charset w:val="01"/>
    <w:family w:val="swiss"/>
    <w:pitch w:val="default"/>
  </w:font>
  <w:font w:name="PT Sans">
    <w:charset w:val="01"/>
    <w:family w:val="swiss"/>
    <w:pitch w:val="default"/>
  </w:font>
  <w:font w:name="SchoolBook">
    <w:charset w:val="01"/>
    <w:family w:val="swiss"/>
    <w:pitch w:val="default"/>
  </w:font>
  <w:font w:name="Arial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22537093"/>
    </w:sdtPr>
    <w:sdtContent>
      <w:p>
        <w:pPr>
          <w:pStyle w:val="Style27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  <w:p>
    <w:pPr>
      <w:pStyle w:val="Style27"/>
      <w:rPr/>
    </w:pPr>
    <w:r>
      <w:rPr/>
    </w:r>
  </w:p>
</w:hdr>
</file>

<file path=word/settings.xml><?xml version="1.0" encoding="utf-8"?>
<w:settings xmlns:w="http://schemas.openxmlformats.org/wordprocessingml/2006/main">
  <w:zoom w:percent="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785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ed32fc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627155"/>
    <w:rPr>
      <w:rFonts w:ascii="Segoe UI" w:hAnsi="Segoe UI" w:eastAsia="Times New Roman" w:cs="Segoe UI"/>
      <w:sz w:val="18"/>
      <w:szCs w:val="18"/>
      <w:lang w:eastAsia="ru-RU"/>
    </w:rPr>
  </w:style>
  <w:style w:type="character" w:styleId="Style16" w:customStyle="1">
    <w:name w:val="Текст сноски Знак"/>
    <w:basedOn w:val="DefaultParagraphFont"/>
    <w:link w:val="a8"/>
    <w:semiHidden/>
    <w:qFormat/>
    <w:rsid w:val="00874a5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7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semiHidden/>
    <w:unhideWhenUsed/>
    <w:qFormat/>
    <w:rsid w:val="00874a55"/>
    <w:rPr>
      <w:vertAlign w:val="superscript"/>
    </w:rPr>
  </w:style>
  <w:style w:type="character" w:styleId="2" w:customStyle="1">
    <w:name w:val="Основной текст (2)_"/>
    <w:link w:val="21"/>
    <w:uiPriority w:val="99"/>
    <w:qFormat/>
    <w:rsid w:val="00df5b6b"/>
    <w:rPr>
      <w:sz w:val="28"/>
      <w:szCs w:val="28"/>
      <w:shd w:fill="FFFFFF" w:val="clear"/>
    </w:rPr>
  </w:style>
  <w:style w:type="character" w:styleId="Style18">
    <w:name w:val="Выделение"/>
    <w:qFormat/>
    <w:rsid w:val="00df5b6b"/>
    <w:rPr>
      <w:i/>
      <w:iCs/>
    </w:rPr>
  </w:style>
  <w:style w:type="character" w:styleId="Style19" w:customStyle="1">
    <w:name w:val="Верхний колонтитул Знак"/>
    <w:basedOn w:val="DefaultParagraphFont"/>
    <w:link w:val="ae"/>
    <w:uiPriority w:val="99"/>
    <w:qFormat/>
    <w:rsid w:val="006332c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20" w:customStyle="1">
    <w:name w:val="Нижний колонтитул Знак"/>
    <w:basedOn w:val="DefaultParagraphFont"/>
    <w:link w:val="af0"/>
    <w:uiPriority w:val="99"/>
    <w:qFormat/>
    <w:rsid w:val="006332cd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>
    <w:name w:val="ListLabel 1"/>
    <w:qFormat/>
    <w:rPr>
      <w:color w:val="auto"/>
    </w:rPr>
  </w:style>
  <w:style w:type="character" w:styleId="ListLabel2">
    <w:name w:val="ListLabel 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3">
    <w:name w:val="ListLabel 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4">
    <w:name w:val="ListLabel 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5">
    <w:name w:val="ListLabel 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6">
    <w:name w:val="ListLabel 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7">
    <w:name w:val="ListLabel 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8">
    <w:name w:val="ListLabel 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9">
    <w:name w:val="ListLabel 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0">
    <w:name w:val="ListLabel 10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1">
    <w:name w:val="ListLabel 11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6"/>
      <w:u w:val="none"/>
    </w:rPr>
  </w:style>
  <w:style w:type="character" w:styleId="ListLabel12">
    <w:name w:val="ListLabel 12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3">
    <w:name w:val="ListLabel 13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4">
    <w:name w:val="ListLabel 14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5">
    <w:name w:val="ListLabel 15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6">
    <w:name w:val="ListLabel 16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7">
    <w:name w:val="ListLabel 17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8">
    <w:name w:val="ListLabel 18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character" w:styleId="ListLabel19">
    <w:name w:val="ListLabel 19"/>
    <w:qFormat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22">
    <w:name w:val="Body Text"/>
    <w:basedOn w:val="Normal"/>
    <w:link w:val="a5"/>
    <w:rsid w:val="00ed32fc"/>
    <w:pPr>
      <w:jc w:val="center"/>
    </w:pPr>
    <w:rPr>
      <w:b/>
      <w:bCs/>
      <w:i/>
      <w:iCs/>
      <w:sz w:val="26"/>
      <w:szCs w:val="26"/>
    </w:rPr>
  </w:style>
  <w:style w:type="paragraph" w:styleId="Style23">
    <w:name w:val="List"/>
    <w:basedOn w:val="Style22"/>
    <w:pPr/>
    <w:rPr>
      <w:rFonts w:ascii="PT Sans" w:hAnsi="PT Sans" w:cs="Noto Sans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NoSpacing">
    <w:name w:val="No Spacing"/>
    <w:uiPriority w:val="1"/>
    <w:qFormat/>
    <w:rsid w:val="00bf785c"/>
    <w:pPr>
      <w:widowControl/>
      <w:bidi w:val="0"/>
      <w:spacing w:lineRule="auto" w:line="240" w:before="0" w:after="0"/>
      <w:jc w:val="left"/>
    </w:pPr>
    <w:rPr>
      <w:rFonts w:ascii="SchoolBook" w:hAnsi="SchoolBook" w:eastAsia="Calibri" w:cs="Times New Roman" w:eastAsiaTheme="minorHAnsi"/>
      <w:color w:val="auto"/>
      <w:kern w:val="0"/>
      <w:sz w:val="28"/>
      <w:szCs w:val="28"/>
      <w:lang w:val="ru-RU" w:eastAsia="en-US" w:bidi="ar-SA"/>
    </w:rPr>
  </w:style>
  <w:style w:type="paragraph" w:styleId="Default" w:customStyle="1">
    <w:name w:val="Default"/>
    <w:qFormat/>
    <w:rsid w:val="00ed32f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627155"/>
    <w:pPr/>
    <w:rPr>
      <w:rFonts w:ascii="Segoe UI" w:hAnsi="Segoe UI" w:cs="Segoe UI"/>
      <w:sz w:val="18"/>
      <w:szCs w:val="18"/>
    </w:rPr>
  </w:style>
  <w:style w:type="paragraph" w:styleId="Style26">
    <w:name w:val="Footnote Text"/>
    <w:basedOn w:val="Normal"/>
    <w:link w:val="a9"/>
    <w:semiHidden/>
    <w:unhideWhenUsed/>
    <w:rsid w:val="00874a55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a6682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(2)1"/>
    <w:basedOn w:val="Normal"/>
    <w:link w:val="2"/>
    <w:uiPriority w:val="99"/>
    <w:qFormat/>
    <w:rsid w:val="00df5b6b"/>
    <w:pPr>
      <w:widowControl w:val="false"/>
      <w:shd w:val="clear" w:color="auto" w:fill="FFFFFF"/>
      <w:spacing w:lineRule="exact" w:line="322"/>
    </w:pPr>
    <w:rPr>
      <w:rFonts w:ascii="Calibri" w:hAnsi="Calibri" w:eastAsia="Calibri" w:cs="" w:asciiTheme="minorHAnsi" w:cstheme="minorBidi" w:eastAsiaTheme="minorHAnsi" w:hAnsiTheme="minorHAnsi"/>
      <w:sz w:val="28"/>
      <w:szCs w:val="28"/>
      <w:lang w:eastAsia="en-US"/>
    </w:rPr>
  </w:style>
  <w:style w:type="paragraph" w:styleId="Style27">
    <w:name w:val="Header"/>
    <w:basedOn w:val="Normal"/>
    <w:link w:val="af"/>
    <w:uiPriority w:val="99"/>
    <w:unhideWhenUsed/>
    <w:rsid w:val="006332cd"/>
    <w:pPr>
      <w:tabs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1"/>
    <w:uiPriority w:val="99"/>
    <w:unhideWhenUsed/>
    <w:rsid w:val="006332cd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b37053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3336f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chart" Target="charts/chart6.xml"/><Relationship Id="rId8" Type="http://schemas.openxmlformats.org/officeDocument/2006/relationships/chart" Target="charts/chart7.xml"/><Relationship Id="rId9" Type="http://schemas.openxmlformats.org/officeDocument/2006/relationships/chart" Target="charts/chart8.xml"/><Relationship Id="rId10" Type="http://schemas.openxmlformats.org/officeDocument/2006/relationships/chart" Target="charts/chart9.xml"/><Relationship Id="rId11" Type="http://schemas.openxmlformats.org/officeDocument/2006/relationships/image" Target="media/image1.jpeg"/><Relationship Id="rId12" Type="http://schemas.openxmlformats.org/officeDocument/2006/relationships/chart" Target="charts/chart10.xml"/><Relationship Id="rId13" Type="http://schemas.openxmlformats.org/officeDocument/2006/relationships/chart" Target="charts/chart11.xml"/><Relationship Id="rId14" Type="http://schemas.openxmlformats.org/officeDocument/2006/relationships/image" Target="media/image2.jpeg"/><Relationship Id="rId15" Type="http://schemas.openxmlformats.org/officeDocument/2006/relationships/chart" Target="charts/chart12.xml"/><Relationship Id="rId16" Type="http://schemas.openxmlformats.org/officeDocument/2006/relationships/chart" Target="charts/chart13.xml"/><Relationship Id="rId17" Type="http://schemas.openxmlformats.org/officeDocument/2006/relationships/chart" Target="charts/chart14.xml"/><Relationship Id="rId18" Type="http://schemas.openxmlformats.org/officeDocument/2006/relationships/header" Target="header1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<Relationship Id="rId22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10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0.xlsx"/>
</Relationships>
</file>

<file path=word/charts/_rels/chart1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1.xlsx"/>
</Relationships>
</file>

<file path=word/charts/_rels/chart1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2.xlsx"/>
</Relationships>
</file>

<file path=word/charts/_rels/chart1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3.xlsx"/>
</Relationships>
</file>

<file path=word/charts/_rels/chart1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4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5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6.xlsx"/>
</Relationships>
</file>

<file path=word/charts/_rels/chart7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7.xlsx"/>
</Relationships>
</file>

<file path=word/charts/_rels/chart8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8.xlsx"/>
</Relationships>
</file>

<file path=word/charts/_rels/chart9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9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view3D>
      <c:rotX val="15"/>
      <c:rotY val="20"/>
      <c:rAngAx val="1"/>
      <c:perspective val="30"/>
    </c:view3D>
    <c:floor>
      <c:spPr>
        <a:noFill/>
        <a:ln w="6480">
          <a:noFill/>
        </a:ln>
      </c:spPr>
    </c:floor>
    <c:sideWall>
      <c:spPr>
        <a:noFill/>
        <a:ln w="6480">
          <a:noFill/>
        </a:ln>
      </c:spPr>
    </c:sideWall>
    <c:backWall>
      <c:spPr>
        <a:noFill/>
        <a:ln w="6480">
          <a:noFill/>
        </a:ln>
      </c:spPr>
    </c:backWall>
    <c:plotArea>
      <c:bar3D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197</c:v>
                </c:pt>
                <c:pt idx="1">
                  <c:v>2</c:v>
                </c:pt>
                <c:pt idx="2">
                  <c:v>221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ed7d31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0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</c:dLbl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246</c:v>
                </c:pt>
                <c:pt idx="1">
                  <c:v>17</c:v>
                </c:pt>
                <c:pt idx="2">
                  <c:v>260</c:v>
                </c:pt>
              </c:numCache>
            </c:numRef>
          </c:val>
        </c:ser>
        <c:gapWidth val="150"/>
        <c:shape val="box"/>
        <c:axId val="10649533"/>
        <c:axId val="50175479"/>
        <c:axId val="0"/>
      </c:bar3DChart>
      <c:catAx>
        <c:axId val="10649533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50175479"/>
        <c:crosses val="autoZero"/>
        <c:auto val="1"/>
        <c:lblAlgn val="ctr"/>
        <c:lblOffset val="100"/>
      </c:catAx>
      <c:valAx>
        <c:axId val="50175479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10649533"/>
        <c:crosses val="autoZero"/>
      </c:valAx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Пассажиры</a:t>
            </a:r>
          </a:p>
        </c:rich>
      </c:tx>
      <c:overlay val="0"/>
    </c:title>
    <c:autoTitleDeleted val="0"/>
    <c:plotArea>
      <c:doughnut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Пассажиры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c00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showLegendKey val="0"/>
              <c:showVal val="0"/>
              <c:showCatName val="0"/>
              <c:showSerName val="0"/>
              <c:showPercent val="1"/>
            </c:dLbl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17</c:v>
                </c:pt>
                <c:pt idx="1">
                  <c:v>113</c:v>
                </c:pt>
              </c:numCache>
            </c:numRef>
          </c:val>
        </c:ser>
        <c:firstSliceAng val="0"/>
        <c:holeSize val="50"/>
      </c:doughnut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Расположение детей в транспортном средстве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54</c:v>
                </c:pt>
                <c:pt idx="1">
                  <c:v>42</c:v>
                </c:pt>
                <c:pt idx="2">
                  <c:v>8</c:v>
                </c:pt>
                <c:pt idx="3">
                  <c:v>19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ДТП на пешеходных переходах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explosion val="8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25</c:v>
                </c:pt>
                <c:pt idx="1">
                  <c:v>14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ДТП по категориям участников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104</c:v>
                </c:pt>
                <c:pt idx="1">
                  <c:v>113</c:v>
                </c:pt>
                <c:pt idx="2">
                  <c:v>26</c:v>
                </c:pt>
                <c:pt idx="3">
                  <c:v>3</c:v>
                </c:pt>
              </c:numCache>
            </c:numRef>
          </c:val>
        </c:ser>
      </c:pie3DChart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ДТП по собственной неосторожности детей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70ad47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6"/>
            <c:spPr>
              <a:solidFill>
                <a:srgbClr val="255e9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7"/>
            <c:spPr>
              <a:solidFill>
                <a:srgbClr val="9e480e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8"/>
            <c:spPr>
              <a:solidFill>
                <a:srgbClr val="636363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9"/>
            <c:spPr>
              <a:solidFill>
                <a:srgbClr val="9973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0"/>
            <c:spPr>
              <a:solidFill>
                <a:srgbClr val="264478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1"/>
            <c:spPr>
              <a:solidFill>
                <a:srgbClr val="43682b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2"/>
            <c:spPr>
              <a:solidFill>
                <a:srgbClr val="7cafdd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3"/>
            <c:spPr>
              <a:solidFill>
                <a:srgbClr val="f1975a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4"/>
            <c:spPr>
              <a:solidFill>
                <a:srgbClr val="b7b7b7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5"/>
            <c:spPr>
              <a:solidFill>
                <a:srgbClr val="ffcd33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6"/>
            <c:spPr>
              <a:solidFill>
                <a:srgbClr val="698ed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7"/>
            <c:spPr>
              <a:solidFill>
                <a:srgbClr val="8cc168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8"/>
            <c:spPr>
              <a:solidFill>
                <a:srgbClr val="327dc2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6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7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8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9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6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7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8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19"/>
                <c:pt idx="0">
                  <c:v>Красноуфимск</c:v>
                </c:pt>
                <c:pt idx="1">
                  <c:v>Тугулым</c:v>
                </c:pt>
                <c:pt idx="2">
                  <c:v>Талица</c:v>
                </c:pt>
                <c:pt idx="3">
                  <c:v>Сысерть</c:v>
                </c:pt>
                <c:pt idx="4">
                  <c:v>Серов</c:v>
                </c:pt>
                <c:pt idx="5">
                  <c:v>Нижние Серги</c:v>
                </c:pt>
                <c:pt idx="6">
                  <c:v>Верхняя Салда</c:v>
                </c:pt>
                <c:pt idx="7">
                  <c:v>Богданович</c:v>
                </c:pt>
                <c:pt idx="8">
                  <c:v>Туринск</c:v>
                </c:pt>
                <c:pt idx="9">
                  <c:v>Реж</c:v>
                </c:pt>
                <c:pt idx="10">
                  <c:v>Первоуральск</c:v>
                </c:pt>
                <c:pt idx="11">
                  <c:v>Березовский</c:v>
                </c:pt>
                <c:pt idx="12">
                  <c:v>Байкалово</c:v>
                </c:pt>
                <c:pt idx="13">
                  <c:v>Заречный</c:v>
                </c:pt>
                <c:pt idx="14">
                  <c:v>Арти</c:v>
                </c:pt>
                <c:pt idx="15">
                  <c:v>Нижний Тагил</c:v>
                </c:pt>
                <c:pt idx="16">
                  <c:v>Каменск-Уральский</c:v>
                </c:pt>
                <c:pt idx="17">
                  <c:v>Краснотурьинск</c:v>
                </c:pt>
                <c:pt idx="18">
                  <c:v>Екатеринбург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9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4</c:v>
                </c:pt>
                <c:pt idx="18">
                  <c:v>34</c:v>
                </c:pt>
              </c:numCache>
            </c:numRef>
          </c:val>
        </c:ser>
      </c:pie3DChart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2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200" spc="-1" strike="noStrike">
                <a:solidFill>
                  <a:srgbClr val="595959"/>
                </a:solidFill>
                <a:latin typeface="Calibri"/>
              </a:rPr>
              <a:t>Территории, где зарегистрирован рост ДТП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rgbClr val="ed7d31"/>
            </a:solidFill>
            <a:ln w="19080">
              <a:solidFill>
                <a:srgbClr val="ffffff"/>
              </a:solidFill>
              <a:round/>
            </a:ln>
          </c:spPr>
          <c:invertIfNegative val="0"/>
          <c:dLbls>
            <c:numFmt formatCode="General" sourceLinked="1"/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7"/>
                <c:pt idx="0">
                  <c:v>Артемовский</c:v>
                </c:pt>
                <c:pt idx="1">
                  <c:v>Североуральский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Кушвинский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Красноуфимский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Березовский</c:v>
                </c:pt>
                <c:pt idx="13">
                  <c:v>Первоуральский</c:v>
                </c:pt>
                <c:pt idx="14">
                  <c:v>Краснотурьинский</c:v>
                </c:pt>
                <c:pt idx="15">
                  <c:v>Каменск-Уральский</c:v>
                </c:pt>
                <c:pt idx="16">
                  <c:v>Екатеринбург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7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3</c:v>
                </c:pt>
                <c:pt idx="10">
                  <c:v>0</c:v>
                </c:pt>
                <c:pt idx="11">
                  <c:v>3</c:v>
                </c:pt>
                <c:pt idx="12">
                  <c:v>4</c:v>
                </c:pt>
                <c:pt idx="13">
                  <c:v>6</c:v>
                </c:pt>
                <c:pt idx="14">
                  <c:v>3</c:v>
                </c:pt>
                <c:pt idx="15">
                  <c:v>6</c:v>
                </c:pt>
                <c:pt idx="16">
                  <c:v>57</c:v>
                </c:pt>
              </c:numCache>
            </c:numRef>
          </c:val>
        </c:ser>
        <c:gapWidth val="100"/>
        <c:overlap val="0"/>
        <c:axId val="28886517"/>
        <c:axId val="6418338"/>
      </c:barChart>
      <c:lineChart>
        <c:grouping val="standard"/>
        <c:varyColors val="0"/>
        <c:ser>
          <c:idx val="1"/>
          <c:order val="1"/>
          <c:tx>
            <c:strRef>
              <c:f>label 1</c:f>
              <c:strCache>
                <c:ptCount val="1"/>
                <c:pt idx="0">
                  <c:v>ДТП 2021</c:v>
                </c:pt>
              </c:strCache>
            </c:strRef>
          </c:tx>
          <c:spPr>
            <a:solidFill>
              <a:srgbClr val="ffc000"/>
            </a:solidFill>
            <a:ln w="28440">
              <a:solidFill>
                <a:srgbClr val="ffc000"/>
              </a:solidFill>
              <a:round/>
            </a:ln>
          </c:spPr>
          <c:marker>
            <c:symbol val="none"/>
          </c:marker>
          <c:dLbls>
            <c:numFmt formatCode="General" sourceLinked="1"/>
            <c:dLblPos val="r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7"/>
                <c:pt idx="0">
                  <c:v>Артемовский</c:v>
                </c:pt>
                <c:pt idx="1">
                  <c:v>Североуральский</c:v>
                </c:pt>
                <c:pt idx="2">
                  <c:v>Ревдинский</c:v>
                </c:pt>
                <c:pt idx="3">
                  <c:v>Красноуральский</c:v>
                </c:pt>
                <c:pt idx="4">
                  <c:v>Кушвинский</c:v>
                </c:pt>
                <c:pt idx="5">
                  <c:v>Байкаловский</c:v>
                </c:pt>
                <c:pt idx="6">
                  <c:v>Верхнесалдинский</c:v>
                </c:pt>
                <c:pt idx="7">
                  <c:v>Лесной</c:v>
                </c:pt>
                <c:pt idx="8">
                  <c:v>Артинский</c:v>
                </c:pt>
                <c:pt idx="9">
                  <c:v>Красноуфимский</c:v>
                </c:pt>
                <c:pt idx="10">
                  <c:v>Туринский</c:v>
                </c:pt>
                <c:pt idx="11">
                  <c:v>Серовский</c:v>
                </c:pt>
                <c:pt idx="12">
                  <c:v>Березовский</c:v>
                </c:pt>
                <c:pt idx="13">
                  <c:v>Первоуральский</c:v>
                </c:pt>
                <c:pt idx="14">
                  <c:v>Краснотурьинский</c:v>
                </c:pt>
                <c:pt idx="15">
                  <c:v>Каменск-Уральский</c:v>
                </c:pt>
                <c:pt idx="16">
                  <c:v>Екатеринбург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7"/>
                <c:pt idx="0">
                  <c:v>1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6</c:v>
                </c:pt>
                <c:pt idx="13">
                  <c:v>7</c:v>
                </c:pt>
                <c:pt idx="14">
                  <c:v>9</c:v>
                </c:pt>
                <c:pt idx="15">
                  <c:v>13</c:v>
                </c:pt>
                <c:pt idx="16">
                  <c:v>112</c:v>
                </c:pt>
              </c:numCache>
            </c:numRef>
          </c:val>
          <c:smooth val="0"/>
        </c:ser>
        <c:hiLowLines>
          <c:spPr>
            <a:ln>
              <a:noFill/>
            </a:ln>
          </c:spPr>
        </c:hiLowLines>
        <c:marker val="0"/>
        <c:axId val="91509165"/>
        <c:axId val="10300615"/>
      </c:lineChart>
      <c:catAx>
        <c:axId val="28886517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418338"/>
        <c:crosses val="autoZero"/>
        <c:auto val="1"/>
        <c:lblAlgn val="ctr"/>
        <c:lblOffset val="100"/>
      </c:catAx>
      <c:valAx>
        <c:axId val="6418338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28886517"/>
        <c:crosses val="autoZero"/>
      </c:valAx>
      <c:catAx>
        <c:axId val="91509165"/>
        <c:scaling>
          <c:orientation val="minMax"/>
        </c:scaling>
        <c:delete val="1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10300615"/>
        <c:crosses val="autoZero"/>
        <c:auto val="1"/>
        <c:lblAlgn val="ctr"/>
        <c:lblOffset val="100"/>
      </c:catAx>
      <c:valAx>
        <c:axId val="10300615"/>
        <c:scaling>
          <c:orientation val="minMax"/>
        </c:scaling>
        <c:delete val="1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91509165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2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200" spc="-1" strike="noStrike">
                <a:solidFill>
                  <a:srgbClr val="595959"/>
                </a:solidFill>
                <a:latin typeface="Calibri"/>
              </a:rPr>
              <a:t>Распределение пострадавших и погибших детей по возрастным группам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66</c:v>
                </c:pt>
                <c:pt idx="1">
                  <c:v>105</c:v>
                </c:pt>
                <c:pt idx="2">
                  <c:v>106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200" spc="-1" strike="noStrike">
                <a:solidFill>
                  <a:srgbClr val="000000"/>
                </a:solidFill>
                <a:latin typeface="Calibri"/>
              </a:defRPr>
            </a:pPr>
            <a:r>
              <a:rPr b="0" sz="1200" spc="-1" strike="noStrike">
                <a:solidFill>
                  <a:srgbClr val="000000"/>
                </a:solidFill>
                <a:latin typeface="Calibri"/>
              </a:rPr>
              <a:t>Распределение пострадавших и погибших детей по гендерным признакам</a:t>
            </a:r>
          </a:p>
        </c:rich>
      </c:tx>
      <c:overlay val="0"/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7030a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0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0"/>
              <c:showSerName val="0"/>
              <c:showPercent val="0"/>
            </c:dLbl>
            <c:dLblPos val="bestFit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"/>
                <c:pt idx="0">
                  <c:v>164</c:v>
                </c:pt>
                <c:pt idx="1">
                  <c:v>113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показателей в зависимости от погодных условий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187</c:v>
                </c:pt>
                <c:pt idx="1">
                  <c:v>48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192</c:v>
                </c:pt>
                <c:pt idx="1">
                  <c:v>55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3"/>
                <c:pt idx="0">
                  <c:v>13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gapWidth val="219"/>
        <c:overlap val="-27"/>
        <c:axId val="87349127"/>
        <c:axId val="32441431"/>
      </c:barChart>
      <c:catAx>
        <c:axId val="87349127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32441431"/>
        <c:crosses val="autoZero"/>
        <c:auto val="1"/>
        <c:lblAlgn val="ctr"/>
        <c:lblOffset val="100"/>
      </c:catAx>
      <c:valAx>
        <c:axId val="32441431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87349127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ДТП по времени суток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70ad47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4</c:v>
                </c:pt>
                <c:pt idx="1">
                  <c:v>18</c:v>
                </c:pt>
                <c:pt idx="2">
                  <c:v>21</c:v>
                </c:pt>
                <c:pt idx="3">
                  <c:v>38</c:v>
                </c:pt>
                <c:pt idx="4">
                  <c:v>79</c:v>
                </c:pt>
                <c:pt idx="5">
                  <c:v>66</c:v>
                </c:pt>
                <c:pt idx="6">
                  <c:v>20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3</c:v>
                </c:pt>
                <c:pt idx="1">
                  <c:v>18</c:v>
                </c:pt>
                <c:pt idx="2">
                  <c:v>21</c:v>
                </c:pt>
                <c:pt idx="3">
                  <c:v>48</c:v>
                </c:pt>
                <c:pt idx="4">
                  <c:v>81</c:v>
                </c:pt>
                <c:pt idx="5">
                  <c:v>68</c:v>
                </c:pt>
                <c:pt idx="6">
                  <c:v>21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</c:ser>
        <c:gapWidth val="219"/>
        <c:overlap val="-27"/>
        <c:axId val="44563053"/>
        <c:axId val="32274477"/>
      </c:barChart>
      <c:catAx>
        <c:axId val="44563053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7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32274477"/>
        <c:crosses val="autoZero"/>
        <c:auto val="1"/>
        <c:lblAlgn val="ctr"/>
        <c:lblOffset val="100"/>
      </c:catAx>
      <c:valAx>
        <c:axId val="32274477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44563053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ДТП по дням недели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35</c:v>
                </c:pt>
                <c:pt idx="1">
                  <c:v>37</c:v>
                </c:pt>
                <c:pt idx="2">
                  <c:v>33</c:v>
                </c:pt>
                <c:pt idx="3">
                  <c:v>30</c:v>
                </c:pt>
                <c:pt idx="4">
                  <c:v>38</c:v>
                </c:pt>
                <c:pt idx="5">
                  <c:v>41</c:v>
                </c:pt>
                <c:pt idx="6">
                  <c:v>32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>
              <c:idx val="6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7"/>
                <c:pt idx="0">
                  <c:v>33</c:v>
                </c:pt>
                <c:pt idx="1">
                  <c:v>40</c:v>
                </c:pt>
                <c:pt idx="2">
                  <c:v>31</c:v>
                </c:pt>
                <c:pt idx="3">
                  <c:v>31</c:v>
                </c:pt>
                <c:pt idx="4">
                  <c:v>45</c:v>
                </c:pt>
                <c:pt idx="5">
                  <c:v>45</c:v>
                </c:pt>
                <c:pt idx="6">
                  <c:v>35</c:v>
                </c:pt>
              </c:numCache>
            </c:numRef>
          </c:val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3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gapWidth val="219"/>
        <c:overlap val="0"/>
        <c:axId val="60048998"/>
        <c:axId val="21975968"/>
      </c:barChart>
      <c:catAx>
        <c:axId val="60048998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21975968"/>
        <c:crosses val="autoZero"/>
        <c:auto val="1"/>
        <c:lblAlgn val="ctr"/>
        <c:lblOffset val="100"/>
      </c:catAx>
      <c:valAx>
        <c:axId val="21975968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60048998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1" sz="1400" spc="-1" strike="noStrike">
                <a:solidFill>
                  <a:srgbClr val="595959"/>
                </a:solidFill>
                <a:latin typeface="Calibri"/>
              </a:rPr>
              <a:t>ДТП по видам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sideWall>
      <c:spPr>
        <a:solidFill>
          <a:srgbClr val="d9d9d9"/>
        </a:solidFill>
        <a:ln>
          <a:noFill/>
        </a:ln>
      </c:spPr>
    </c:sideWall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ДТП по видам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70ad47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6"/>
            <c:spPr>
              <a:solidFill>
                <a:srgbClr val="255e9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7"/>
            <c:spPr>
              <a:solidFill>
                <a:srgbClr val="9e480e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1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2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3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4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5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6"/>
              <c:dLblPos val="bestFit"/>
              <c:showLegendKey val="0"/>
              <c:showVal val="1"/>
              <c:showCatName val="1"/>
              <c:showSerName val="0"/>
              <c:showPercent val="0"/>
            </c:dLbl>
            <c:dLbl>
              <c:idx val="7"/>
              <c:dLblPos val="bestFit"/>
              <c:showLegendKey val="0"/>
              <c:showVal val="1"/>
              <c:showCatName val="1"/>
              <c:showSerName val="0"/>
              <c:showPercent val="0"/>
            </c:dLbl>
            <c:dLblPos val="bestFit"/>
            <c:showLegendKey val="0"/>
            <c:showVal val="1"/>
            <c:showCatName val="1"/>
            <c:showSerName val="0"/>
            <c:showPercent val="0"/>
            <c:showLeaderLines val="0"/>
          </c:dLbls>
          <c:cat>
            <c:strRef>
              <c:f>categories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90</c:v>
                </c:pt>
                <c:pt idx="1">
                  <c:v>112</c:v>
                </c:pt>
                <c:pt idx="2">
                  <c:v>1</c:v>
                </c:pt>
                <c:pt idx="3">
                  <c:v>11</c:v>
                </c:pt>
                <c:pt idx="4">
                  <c:v>2</c:v>
                </c:pt>
                <c:pt idx="5">
                  <c:v>26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</c:pie3DChart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595959"/>
                </a:solidFill>
                <a:latin typeface="Calibri"/>
              </a:defRPr>
            </a:pPr>
            <a:r>
              <a:rPr b="0" sz="1400" spc="-1" strike="noStrike">
                <a:solidFill>
                  <a:srgbClr val="595959"/>
                </a:solidFill>
                <a:latin typeface="Calibri"/>
              </a:rPr>
              <a:t>Распределение раненых и погибших в ДТП детей по значению дорог</a:t>
            </a:r>
          </a:p>
        </c:rich>
      </c:tx>
      <c:overlay val="0"/>
    </c:title>
    <c:autoTitleDeleted val="0"/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</c:spPr>
          <c:invertIfNegative val="0"/>
          <c:dLbls>
            <c:numFmt formatCode="General" sourceLinked="1"/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30</c:v>
                </c:pt>
                <c:pt idx="1">
                  <c:v>15</c:v>
                </c:pt>
                <c:pt idx="2">
                  <c:v>41</c:v>
                </c:pt>
                <c:pt idx="3">
                  <c:v>174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</c:spPr>
          <c:invertIfNegative val="0"/>
          <c:dLbls>
            <c:numFmt formatCode="General" sourceLinked="1"/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</c:dLbl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9</c:v>
                </c:pt>
                <c:pt idx="3">
                  <c:v>6</c:v>
                </c:pt>
              </c:numCache>
            </c:numRef>
          </c:val>
        </c:ser>
        <c:gapWidth val="182"/>
        <c:overlap val="0"/>
        <c:axId val="83354993"/>
        <c:axId val="4461482"/>
      </c:barChart>
      <c:catAx>
        <c:axId val="83354993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4461482"/>
        <c:crosses val="autoZero"/>
        <c:auto val="1"/>
        <c:lblAlgn val="ctr"/>
        <c:lblOffset val="100"/>
      </c:catAx>
      <c:valAx>
        <c:axId val="4461482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libri"/>
              </a:defRPr>
            </a:pPr>
          </a:p>
        </c:txPr>
        <c:crossAx val="83354993"/>
        <c:crosses val="autoZero"/>
      </c:valAx>
      <c:spPr>
        <a:noFill/>
        <a:ln>
          <a:noFill/>
        </a:ln>
      </c:spPr>
    </c:plotArea>
    <c:legend>
      <c:legendPos val="b"/>
      <c:overlay val="0"/>
      <c:spPr>
        <a:noFill/>
        <a:ln>
          <a:noFill/>
        </a:ln>
      </c:spPr>
      <c:txPr>
        <a:bodyPr/>
        <a:lstStyle/>
        <a:p>
          <a:pPr>
            <a:defRPr b="0" sz="900" spc="-1" strike="noStrike">
              <a:solidFill>
                <a:srgbClr val="595959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CFA0-18BC-44E3-A8A2-CE555F5EE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6664</TotalTime>
  <Application>LibreOffice/6.0.5.2$Linux_X86_64 LibreOffice_project/00m0$Build-2</Application>
  <Pages>10</Pages>
  <Words>3125</Words>
  <Characters>19319</Characters>
  <CharactersWithSpaces>22456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2020-09-14T09:21:00Z</dcterms:created>
  <dc:creator>Пользователь</dc:creator>
  <dc:description/>
  <dc:language>ru-RU</dc:language>
  <cp:lastModifiedBy/>
  <cp:lastPrinted>2021-09-13T06:38:00Z</cp:lastPrinted>
  <dcterms:modified xsi:type="dcterms:W3CDTF">2021-09-19T23:41:37Z</dcterms:modified>
  <cp:revision>346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